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532"/>
        <w:gridCol w:w="5877"/>
      </w:tblGrid>
      <w:tr w:rsidR="003E5C08" w14:paraId="64228FA5" w14:textId="77777777" w:rsidTr="002318B5">
        <w:trPr>
          <w:jc w:val="center"/>
        </w:trPr>
        <w:tc>
          <w:tcPr>
            <w:tcW w:w="3532" w:type="dxa"/>
            <w:tcBorders>
              <w:top w:val="nil"/>
              <w:left w:val="nil"/>
              <w:bottom w:val="nil"/>
              <w:right w:val="nil"/>
            </w:tcBorders>
            <w:vAlign w:val="center"/>
          </w:tcPr>
          <w:p w14:paraId="0F26B79E" w14:textId="57D8D929" w:rsidR="003E5C08" w:rsidRDefault="00B57CC5">
            <w:pPr>
              <w:ind w:firstLine="0"/>
              <w:jc w:val="center"/>
            </w:pPr>
            <w:r>
              <w:rPr>
                <w:b/>
                <w:noProof/>
                <w:sz w:val="26"/>
              </w:rPr>
              <mc:AlternateContent>
                <mc:Choice Requires="wps">
                  <w:drawing>
                    <wp:anchor distT="0" distB="0" distL="114300" distR="114300" simplePos="0" relativeHeight="251659264" behindDoc="0" locked="0" layoutInCell="1" allowOverlap="1" wp14:anchorId="350FE904" wp14:editId="5BEF282E">
                      <wp:simplePos x="0" y="0"/>
                      <wp:positionH relativeFrom="column">
                        <wp:posOffset>561974</wp:posOffset>
                      </wp:positionH>
                      <wp:positionV relativeFrom="paragraph">
                        <wp:posOffset>405850</wp:posOffset>
                      </wp:positionV>
                      <wp:extent cx="962167" cy="0"/>
                      <wp:effectExtent l="0" t="0" r="0" b="0"/>
                      <wp:wrapNone/>
                      <wp:docPr id="548079885" name="Straight Connector 1"/>
                      <wp:cNvGraphicFramePr/>
                      <a:graphic xmlns:a="http://schemas.openxmlformats.org/drawingml/2006/main">
                        <a:graphicData uri="http://schemas.microsoft.com/office/word/2010/wordprocessingShape">
                          <wps:wsp>
                            <wps:cNvCnPr/>
                            <wps:spPr>
                              <a:xfrm>
                                <a:off x="0" y="0"/>
                                <a:ext cx="9621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E57D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25pt,31.95pt" to="120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" strokecolor="black [3040]"/>
                  </w:pict>
                </mc:Fallback>
              </mc:AlternateContent>
            </w:r>
            <w:r>
              <w:rPr>
                <w:b/>
                <w:sz w:val="26"/>
              </w:rPr>
              <w:t>ỦY BAN NHÂN DÂN</w:t>
            </w:r>
            <w:r>
              <w:rPr>
                <w:b/>
                <w:sz w:val="26"/>
              </w:rPr>
              <w:br/>
              <w:t>TỈNH HÀ TĨNH</w:t>
            </w:r>
          </w:p>
        </w:tc>
        <w:tc>
          <w:tcPr>
            <w:tcW w:w="5877" w:type="dxa"/>
            <w:tcBorders>
              <w:top w:val="nil"/>
              <w:left w:val="nil"/>
              <w:bottom w:val="nil"/>
              <w:right w:val="nil"/>
            </w:tcBorders>
            <w:vAlign w:val="center"/>
          </w:tcPr>
          <w:p w14:paraId="5B5EEFCE" w14:textId="77777777" w:rsidR="003E5C08" w:rsidRDefault="00000000">
            <w:pPr>
              <w:ind w:firstLine="0"/>
              <w:jc w:val="center"/>
            </w:pPr>
            <w:r>
              <w:rPr>
                <w:b/>
                <w:sz w:val="26"/>
              </w:rPr>
              <w:t>CỘNG HÒA XÃ HỘI CHỦ NGHĨA VIỆT NAM</w:t>
            </w:r>
            <w:r>
              <w:rPr>
                <w:b/>
                <w:sz w:val="26"/>
                <w:u w:val="single"/>
              </w:rPr>
              <w:br/>
              <w:t>Độc lập - Tự do - Hạnh phúc</w:t>
            </w:r>
          </w:p>
        </w:tc>
      </w:tr>
      <w:tr w:rsidR="003E5C08" w14:paraId="325CB8BA" w14:textId="77777777" w:rsidTr="002318B5">
        <w:trPr>
          <w:jc w:val="center"/>
        </w:trPr>
        <w:tc>
          <w:tcPr>
            <w:tcW w:w="3532" w:type="dxa"/>
            <w:tcBorders>
              <w:top w:val="nil"/>
              <w:left w:val="nil"/>
              <w:bottom w:val="nil"/>
              <w:right w:val="nil"/>
            </w:tcBorders>
            <w:vAlign w:val="center"/>
          </w:tcPr>
          <w:p w14:paraId="1CED96AB" w14:textId="2421040E" w:rsidR="003E5C08" w:rsidRDefault="00000000">
            <w:pPr>
              <w:ind w:firstLine="0"/>
              <w:jc w:val="center"/>
            </w:pPr>
            <w:r>
              <w:rPr>
                <w:sz w:val="26"/>
              </w:rPr>
              <w:t xml:space="preserve">Số:      </w:t>
            </w:r>
            <w:r w:rsidR="00426BCA">
              <w:rPr>
                <w:sz w:val="26"/>
              </w:rPr>
              <w:t xml:space="preserve">  </w:t>
            </w:r>
            <w:r>
              <w:rPr>
                <w:sz w:val="26"/>
              </w:rPr>
              <w:t xml:space="preserve">  /2026/QĐ-UBND</w:t>
            </w:r>
          </w:p>
        </w:tc>
        <w:tc>
          <w:tcPr>
            <w:tcW w:w="5877" w:type="dxa"/>
            <w:tcBorders>
              <w:top w:val="nil"/>
              <w:left w:val="nil"/>
              <w:bottom w:val="nil"/>
              <w:right w:val="nil"/>
            </w:tcBorders>
            <w:vAlign w:val="center"/>
          </w:tcPr>
          <w:p w14:paraId="61B9DCE9" w14:textId="6938B0C8" w:rsidR="003E5C08" w:rsidRDefault="002318B5">
            <w:pPr>
              <w:ind w:firstLine="0"/>
              <w:jc w:val="center"/>
            </w:pPr>
            <w:r>
              <w:rPr>
                <w:i/>
                <w:sz w:val="26"/>
              </w:rPr>
              <w:t xml:space="preserve">                    Hà Tĩnh, ngày       tháng       năm 2026</w:t>
            </w:r>
          </w:p>
        </w:tc>
      </w:tr>
    </w:tbl>
    <w:p w14:paraId="2E95D24F" w14:textId="77777777" w:rsidR="00112CCC" w:rsidRDefault="00112CCC">
      <w:pPr>
        <w:ind w:firstLine="0"/>
      </w:pPr>
    </w:p>
    <w:p w14:paraId="2A27887F" w14:textId="43E7CC4F" w:rsidR="003E5C08" w:rsidRDefault="002B254D">
      <w:pPr>
        <w:ind w:firstLine="0"/>
      </w:pPr>
      <w:r>
        <w:rPr>
          <w:noProof/>
        </w:rPr>
        <mc:AlternateContent>
          <mc:Choice Requires="wps">
            <w:drawing>
              <wp:anchor distT="0" distB="0" distL="114300" distR="114300" simplePos="0" relativeHeight="251661312" behindDoc="0" locked="0" layoutInCell="1" allowOverlap="1" wp14:anchorId="5AB03A06" wp14:editId="0672E27E">
                <wp:simplePos x="0" y="0"/>
                <wp:positionH relativeFrom="column">
                  <wp:posOffset>206734</wp:posOffset>
                </wp:positionH>
                <wp:positionV relativeFrom="paragraph">
                  <wp:posOffset>182245</wp:posOffset>
                </wp:positionV>
                <wp:extent cx="1168842" cy="333762"/>
                <wp:effectExtent l="0" t="0" r="12700" b="28575"/>
                <wp:wrapNone/>
                <wp:docPr id="1909370870" name="Text Box 2"/>
                <wp:cNvGraphicFramePr/>
                <a:graphic xmlns:a="http://schemas.openxmlformats.org/drawingml/2006/main">
                  <a:graphicData uri="http://schemas.microsoft.com/office/word/2010/wordprocessingShape">
                    <wps:wsp>
                      <wps:cNvSpPr txBox="1"/>
                      <wps:spPr>
                        <a:xfrm>
                          <a:off x="0" y="0"/>
                          <a:ext cx="1168842" cy="333762"/>
                        </a:xfrm>
                        <a:prstGeom prst="rect">
                          <a:avLst/>
                        </a:prstGeom>
                        <a:solidFill>
                          <a:schemeClr val="lt1"/>
                        </a:solidFill>
                        <a:ln w="6350">
                          <a:solidFill>
                            <a:prstClr val="black"/>
                          </a:solidFill>
                        </a:ln>
                      </wps:spPr>
                      <wps:txbx>
                        <w:txbxContent>
                          <w:p w14:paraId="09DA5727" w14:textId="77777777" w:rsidR="002B254D" w:rsidRDefault="002B254D" w:rsidP="002B254D">
                            <w:pPr>
                              <w:ind w:firstLine="0"/>
                            </w:pPr>
                            <w:r>
                              <w:t xml:space="preserve"> 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03A06" id="_x0000_t202" coordsize="21600,21600" o:spt="202" path="m,l,21600r21600,l21600,xe">
                <v:stroke joinstyle="miter"/>
                <v:path gradientshapeok="t" o:connecttype="rect"/>
              </v:shapetype>
              <v:shape id="Text Box 2" o:spid="_x0000_s1026" type="#_x0000_t202" style="position:absolute;margin-left:16.3pt;margin-top:14.35pt;width:92.05pt;height:2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" fillcolor="white [3201]" strokeweight=".5pt">
                <v:textbox>
                  <w:txbxContent>
                    <w:p w14:paraId="09DA5727" w14:textId="77777777" w:rsidR="002B254D" w:rsidRDefault="002B254D" w:rsidP="002B254D">
                      <w:pPr>
                        <w:ind w:firstLine="0"/>
                      </w:pPr>
                      <w:r>
                        <w:t xml:space="preserve"> DỰ THẢO</w:t>
                      </w:r>
                    </w:p>
                  </w:txbxContent>
                </v:textbox>
              </v:shape>
            </w:pict>
          </mc:Fallback>
        </mc:AlternateContent>
      </w:r>
    </w:p>
    <w:p w14:paraId="205D8AA6" w14:textId="77777777" w:rsidR="00F23F41" w:rsidRDefault="00F23F41">
      <w:pPr>
        <w:ind w:firstLine="0"/>
        <w:jc w:val="center"/>
        <w:rPr>
          <w:b/>
        </w:rPr>
      </w:pPr>
    </w:p>
    <w:p w14:paraId="49AC2A35" w14:textId="6AA6E9A0" w:rsidR="003E5C08" w:rsidRDefault="00000000">
      <w:pPr>
        <w:ind w:firstLine="0"/>
        <w:jc w:val="center"/>
      </w:pPr>
      <w:r>
        <w:rPr>
          <w:b/>
        </w:rPr>
        <w:t>QUYẾT ĐỊNH</w:t>
      </w:r>
    </w:p>
    <w:p w14:paraId="6CDC0453" w14:textId="77777777" w:rsidR="003E5C08" w:rsidRDefault="00000000">
      <w:pPr>
        <w:ind w:firstLine="0"/>
        <w:jc w:val="center"/>
      </w:pPr>
      <w:r>
        <w:rPr>
          <w:b/>
        </w:rPr>
        <w:t>Quy định đặc điểm kinh tế - kỹ thuật của hàng hóa là vật liệu xây dựng đặc thù thực hiện kê khai giá tại địa phương trên địa bàn tỉnh Hà Tĩnh</w:t>
      </w:r>
    </w:p>
    <w:p w14:paraId="4F9ED285" w14:textId="77777777" w:rsidR="003E5C08" w:rsidRDefault="003E5C08">
      <w:pPr>
        <w:ind w:firstLine="0"/>
      </w:pPr>
    </w:p>
    <w:p w14:paraId="1AFF2796" w14:textId="77777777" w:rsidR="003E5C08" w:rsidRDefault="00000000" w:rsidP="00E205C3">
      <w:pPr>
        <w:spacing w:before="40" w:line="240" w:lineRule="auto"/>
        <w:jc w:val="both"/>
      </w:pPr>
      <w:r>
        <w:rPr>
          <w:i/>
        </w:rPr>
        <w:t>Căn cứ Luật Tổ chức chính quyền địa phương số 72/2025/QH15;</w:t>
      </w:r>
    </w:p>
    <w:p w14:paraId="499E7537" w14:textId="77777777" w:rsidR="003E5C08" w:rsidRDefault="00000000" w:rsidP="00E205C3">
      <w:pPr>
        <w:spacing w:before="40" w:line="240" w:lineRule="auto"/>
        <w:jc w:val="both"/>
      </w:pPr>
      <w:r>
        <w:rPr>
          <w:i/>
        </w:rPr>
        <w:t>Căn cứ Luật Ban hành văn bản quy phạm pháp luật số 64/2025/QH15; Luật sửa đổi, bổ sung một số điều của Luật Ban hành văn bản quy phạm pháp luật số 87/2025/QH15;</w:t>
      </w:r>
    </w:p>
    <w:p w14:paraId="5F03A302" w14:textId="77777777" w:rsidR="003E5C08" w:rsidRDefault="00000000" w:rsidP="00E205C3">
      <w:pPr>
        <w:spacing w:before="40" w:line="240" w:lineRule="auto"/>
        <w:jc w:val="both"/>
      </w:pPr>
      <w:r>
        <w:rPr>
          <w:i/>
        </w:rPr>
        <w:t>Căn cứ Luật Giá số 16/2023/QH15; Luật sửa đổi, bổ sung một số điều của Luật Giá số 140/2025/QH15;</w:t>
      </w:r>
    </w:p>
    <w:p w14:paraId="29917060" w14:textId="77777777" w:rsidR="003E5C08" w:rsidRDefault="00000000" w:rsidP="00E205C3">
      <w:pPr>
        <w:spacing w:before="40" w:line="240" w:lineRule="auto"/>
        <w:jc w:val="both"/>
      </w:pPr>
      <w:r>
        <w:rPr>
          <w:i/>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và Nghị định số 79/2025/NĐ-CP ngày 01 tháng 4 năm 2025 của Chính phủ;</w:t>
      </w:r>
    </w:p>
    <w:p w14:paraId="4B90D4E3" w14:textId="77777777" w:rsidR="003E5C08" w:rsidRDefault="00000000" w:rsidP="00E205C3">
      <w:pPr>
        <w:spacing w:before="40" w:line="240" w:lineRule="auto"/>
        <w:jc w:val="both"/>
      </w:pPr>
      <w:r>
        <w:rPr>
          <w:i/>
        </w:rPr>
        <w:t>Căn cứ Nghị định số 85/2024/NĐ-CP ngày 10 tháng 7 năm 2024 của Chính phủ quy định chi tiết một số điều của Luật Giá; Nghị định số 128/2026/NĐ-CP ngày 06 tháng 4 năm 2026 của Chính phủ sửa đổi, bổ sung một số điều của Nghị định số 85/2024/NĐ-CP;</w:t>
      </w:r>
    </w:p>
    <w:p w14:paraId="0E43E348" w14:textId="77777777" w:rsidR="003E5C08" w:rsidRDefault="00000000" w:rsidP="00E205C3">
      <w:pPr>
        <w:spacing w:before="40" w:line="240" w:lineRule="auto"/>
        <w:jc w:val="both"/>
      </w:pPr>
      <w:r>
        <w:rPr>
          <w:i/>
        </w:rPr>
        <w:t>Căn cứ Quyết định số 88/2025/QĐ-UBND ngày 05 tháng 12 năm 2025 của Ủy ban nhân dân tỉnh quy định một số nội dung quản lý nhà nước về giá trên địa bàn tỉnh Hà Tĩnh;</w:t>
      </w:r>
    </w:p>
    <w:p w14:paraId="1EFA32B2" w14:textId="77777777" w:rsidR="003E5C08" w:rsidRDefault="00000000" w:rsidP="00E205C3">
      <w:pPr>
        <w:spacing w:before="40" w:line="240" w:lineRule="auto"/>
        <w:jc w:val="both"/>
      </w:pPr>
      <w:r>
        <w:rPr>
          <w:i/>
        </w:rPr>
        <w:t>Theo đề nghị của Giám đốc Sở Xây dựng tại Tờ trình số        /TTr-SXD ngày       tháng       năm 2026; ý kiến thẩm định của Sở Tư pháp tại Báo cáo số        /BC-STP ngày       tháng       năm 2026; ý kiến thống nhất đồng ý (bằng phiếu biểu quyết) của thành viên Ủy ban nhân dân tỉnh,</w:t>
      </w:r>
    </w:p>
    <w:p w14:paraId="7F77A9C2" w14:textId="77777777" w:rsidR="003E5C08" w:rsidRDefault="00000000" w:rsidP="00E205C3">
      <w:pPr>
        <w:spacing w:before="40" w:line="240" w:lineRule="auto"/>
        <w:jc w:val="both"/>
      </w:pPr>
      <w:r>
        <w:rPr>
          <w:i/>
        </w:rPr>
        <w:t>Ủy ban nhân dân tỉnh Hà Tĩnh ban hành Quyết định quy định đặc điểm kinh tế - kỹ thuật của hàng hóa là vật liệu xây dựng đặc thù thực hiện kê khai giá tại địa phương trên địa bàn tỉnh Hà Tĩnh.</w:t>
      </w:r>
    </w:p>
    <w:p w14:paraId="2CB8622D" w14:textId="77777777" w:rsidR="003E5C08" w:rsidRDefault="00000000" w:rsidP="00E205C3">
      <w:pPr>
        <w:spacing w:before="40" w:line="240" w:lineRule="auto"/>
        <w:jc w:val="both"/>
      </w:pPr>
      <w:r>
        <w:rPr>
          <w:b/>
        </w:rPr>
        <w:t>Điều 1. Phạm vi điều chỉnh, đối tượng áp dụng</w:t>
      </w:r>
    </w:p>
    <w:p w14:paraId="389B2500" w14:textId="77777777" w:rsidR="003E5C08" w:rsidRDefault="00000000" w:rsidP="00E205C3">
      <w:pPr>
        <w:spacing w:before="40" w:line="240" w:lineRule="auto"/>
        <w:jc w:val="both"/>
      </w:pPr>
      <w:r>
        <w:t xml:space="preserve">1. Quyết định này quy định đặc điểm kinh tế - kỹ thuật của hàng hóa là vật liệu xây dựng đặc thù thực hiện kê khai giá tại địa phương đối với đất san lấp, cát </w:t>
      </w:r>
      <w:r>
        <w:lastRenderedPageBreak/>
        <w:t>xây dựng, đá xây dựng các loại có nguồn gốc khai thác, sản xuất trên địa bàn tỉnh Hà Tĩnh.</w:t>
      </w:r>
    </w:p>
    <w:p w14:paraId="32E743DF" w14:textId="77777777" w:rsidR="003E5C08" w:rsidRDefault="00000000" w:rsidP="00E205C3">
      <w:pPr>
        <w:spacing w:before="40" w:line="240" w:lineRule="auto"/>
        <w:jc w:val="both"/>
      </w:pPr>
      <w:r>
        <w:t>2. Quyết định này áp dụng đối với cơ quan quản lý nhà nước về giá; cơ quan quản lý nhà nước về xây dựng, khoáng sản; tổ chức, cá nhân khai thác, sản xuất, kinh doanh hàng hóa quy định tại khoản 1 Điều này thuộc Danh sách tổ chức kinh doanh hàng hóa thực hiện kê khai giá tại địa phương; các tổ chức, cá nhân khác có liên quan.</w:t>
      </w:r>
    </w:p>
    <w:p w14:paraId="6D2397CD" w14:textId="77777777" w:rsidR="003E5C08" w:rsidRDefault="00000000" w:rsidP="00E205C3">
      <w:pPr>
        <w:spacing w:before="40" w:line="240" w:lineRule="auto"/>
        <w:jc w:val="both"/>
      </w:pPr>
      <w:r>
        <w:rPr>
          <w:b/>
        </w:rPr>
        <w:t>Điều 2. Nguyên tắc xác định đặc điểm kinh tế - kỹ thuật và giá kê khai</w:t>
      </w:r>
    </w:p>
    <w:p w14:paraId="098392DB" w14:textId="77777777" w:rsidR="003E5C08" w:rsidRDefault="00000000" w:rsidP="00E205C3">
      <w:pPr>
        <w:spacing w:before="40" w:line="240" w:lineRule="auto"/>
        <w:jc w:val="both"/>
      </w:pPr>
      <w:r>
        <w:t>1. Đặc điểm kinh tế - kỹ thuật quy định tại Quyết định này là căn cứ để nhận diện hàng hóa, xác định tên hàng hóa, loại hàng hóa, quy cách giao dịch, đơn vị tính, nguồn gốc, địa điểm và điều kiện giao hàng khi thực hiện kê khai giá; không phải là quy định về mức giá, khung giá, giá tối đa, giá tối thiểu hoặc phương pháp định giá đối với hàng hóa.</w:t>
      </w:r>
    </w:p>
    <w:p w14:paraId="17A586F2" w14:textId="77777777" w:rsidR="003E5C08" w:rsidRDefault="00000000" w:rsidP="00E205C3">
      <w:pPr>
        <w:spacing w:before="40" w:line="240" w:lineRule="auto"/>
        <w:jc w:val="both"/>
      </w:pPr>
      <w:r>
        <w:t>2. Giá kê khai là giá bán tại mỏ, bãi khai thác hoặc bãi tập kết hợp pháp, trên phương tiện của bên mua tại địa điểm giao hàng, chưa bao gồm thuế giá trị gia tăng, chưa bao gồm chi phí vận chuyển từ địa điểm giao hàng đến công trình hoặc địa điểm khác, trừ trường hợp tổ chức kinh doanh kê khai thêm mức giá theo điều kiện giao hàng khác và thuyết minh rõ nội dung chi phí cấu thành.</w:t>
      </w:r>
    </w:p>
    <w:p w14:paraId="4436ABE9" w14:textId="77777777" w:rsidR="003E5C08" w:rsidRDefault="00000000" w:rsidP="00E205C3">
      <w:pPr>
        <w:spacing w:before="40" w:line="240" w:lineRule="auto"/>
        <w:jc w:val="both"/>
      </w:pPr>
      <w:r>
        <w:t>3. Hàng hóa thực hiện kê khai giá phải có nguồn gốc hợp pháp; việc quản lý chất lượng, tiêu chuẩn, quy chuẩn kỹ thuật, hồ sơ công bố áp dụng, chứng nhận hợp quy, hợp chuẩn (nếu có) thực hiện theo quy định của pháp luật về chất lượng sản phẩm, hàng hóa, khoáng sản, xây dựng và pháp luật khác có liên quan.</w:t>
      </w:r>
    </w:p>
    <w:p w14:paraId="006DD3C1" w14:textId="77777777" w:rsidR="003E5C08" w:rsidRDefault="00000000" w:rsidP="00E205C3">
      <w:pPr>
        <w:spacing w:before="40" w:line="240" w:lineRule="auto"/>
        <w:jc w:val="both"/>
      </w:pPr>
      <w:r>
        <w:t>4. Khi thực hiện kê khai giá, tổ chức kinh doanh ghi rõ tối thiểu các thông tin: tên hàng hóa, loại hàng hóa, đơn vị tính, nguồn gốc/mỏ hoặc bãi cung ứng, địa điểm giao hàng, điều kiện giao hàng, giá chưa bao gồm thuế giá trị gia tăng và các chi phí chưa bao gồm trong mức giá kê khai.</w:t>
      </w:r>
    </w:p>
    <w:p w14:paraId="106138E1" w14:textId="77777777" w:rsidR="003E5C08" w:rsidRDefault="00000000" w:rsidP="00E205C3">
      <w:pPr>
        <w:spacing w:before="40" w:line="240" w:lineRule="auto"/>
        <w:jc w:val="both"/>
      </w:pPr>
      <w:r>
        <w:rPr>
          <w:b/>
        </w:rPr>
        <w:t>Điều 3. Đặc điểm kinh tế - kỹ thuật của hàng hóa thực hiện kê khai giá</w:t>
      </w:r>
    </w:p>
    <w:p w14:paraId="7CCFD831" w14:textId="77777777" w:rsidR="003E5C08" w:rsidRDefault="00000000" w:rsidP="00E205C3">
      <w:pPr>
        <w:spacing w:before="40" w:line="240" w:lineRule="auto"/>
        <w:jc w:val="both"/>
      </w:pPr>
      <w:r>
        <w:t>Ban hành kèm theo Quyết định này đặc điểm kinh tế - kỹ thuật của hàng hóa là vật liệu xây dựng đặc thù thực hiện kê khai giá tại địa phương, gồm:</w:t>
      </w:r>
    </w:p>
    <w:p w14:paraId="4CA5CDF1" w14:textId="77777777" w:rsidR="003E5C08" w:rsidRDefault="00000000" w:rsidP="00E205C3">
      <w:pPr>
        <w:spacing w:before="40" w:line="240" w:lineRule="auto"/>
        <w:jc w:val="both"/>
      </w:pPr>
      <w:r>
        <w:t>1. Phụ lục I: Đặc điểm kinh tế - kỹ thuật của đất san lấp thực hiện kê khai giá tại địa phương;</w:t>
      </w:r>
    </w:p>
    <w:p w14:paraId="0FDA7BA2" w14:textId="77777777" w:rsidR="003E5C08" w:rsidRDefault="00000000" w:rsidP="00E205C3">
      <w:pPr>
        <w:spacing w:before="40" w:line="240" w:lineRule="auto"/>
        <w:jc w:val="both"/>
      </w:pPr>
      <w:r>
        <w:t>2. Phụ lục II: Đặc điểm kinh tế - kỹ thuật của cát xây dựng thực hiện kê khai giá tại địa phương;</w:t>
      </w:r>
    </w:p>
    <w:p w14:paraId="4BC5AA9A" w14:textId="77777777" w:rsidR="003E5C08" w:rsidRDefault="00000000" w:rsidP="00E205C3">
      <w:pPr>
        <w:spacing w:before="40" w:line="240" w:lineRule="auto"/>
        <w:jc w:val="both"/>
      </w:pPr>
      <w:r>
        <w:t>3. Phụ lục III: Đặc điểm kinh tế - kỹ thuật của đá xây dựng các loại thực hiện kê khai giá tại địa phương.</w:t>
      </w:r>
    </w:p>
    <w:p w14:paraId="792EAAFC" w14:textId="77777777" w:rsidR="003E5C08" w:rsidRDefault="00000000" w:rsidP="00E205C3">
      <w:pPr>
        <w:spacing w:before="40" w:line="240" w:lineRule="auto"/>
        <w:jc w:val="both"/>
      </w:pPr>
      <w:r>
        <w:rPr>
          <w:b/>
        </w:rPr>
        <w:t>Điều 4. Tổ chức thực hiện</w:t>
      </w:r>
    </w:p>
    <w:p w14:paraId="0E628BF9" w14:textId="77777777" w:rsidR="003E5C08" w:rsidRDefault="00000000" w:rsidP="00E205C3">
      <w:pPr>
        <w:spacing w:before="40" w:line="240" w:lineRule="auto"/>
        <w:jc w:val="both"/>
      </w:pPr>
      <w:r>
        <w:t xml:space="preserve">1. Sở Xây dựng tổ chức tiếp nhận kê khai giá đối với hàng hóa quy định tại Điều 1 Quyết định này theo phân công của Ủy ban nhân dân tỉnh; hướng dẫn tổ chức kinh doanh thực hiện kê khai giá theo đúng tên hàng hóa, loại hàng hóa, quy </w:t>
      </w:r>
      <w:r>
        <w:lastRenderedPageBreak/>
        <w:t>cách giao dịch và điều kiện giá quy định tại Quyết định này; chủ trì, phối hợp với Sở Nông nghiệp và Môi trường, Ủy ban nhân dân các xã, phường và các cơ quan, đơn vị liên quan rà soát, đề xuất Danh sách tổ chức kinh doanh hàng hóa thực hiện kê khai giá tại địa phương gửi Sở Tài chính tổng hợp.</w:t>
      </w:r>
    </w:p>
    <w:p w14:paraId="75A07DD6" w14:textId="77777777" w:rsidR="003E5C08" w:rsidRDefault="00000000" w:rsidP="00E205C3">
      <w:pPr>
        <w:spacing w:before="40" w:line="240" w:lineRule="auto"/>
        <w:jc w:val="both"/>
      </w:pPr>
      <w:r>
        <w:t>2. Sở Tài chính chủ trì, phối hợp với Sở Xây dựng và các cơ quan, đơn vị liên quan tổng hợp, tham mưu Ủy ban nhân dân tỉnh ban hành, đăng tải Danh sách tổ chức kinh doanh hàng hóa thực hiện kê khai giá tại địa phương theo quy định.</w:t>
      </w:r>
    </w:p>
    <w:p w14:paraId="2908654B" w14:textId="77777777" w:rsidR="003E5C08" w:rsidRDefault="00000000" w:rsidP="00E205C3">
      <w:pPr>
        <w:spacing w:before="40" w:line="240" w:lineRule="auto"/>
        <w:jc w:val="both"/>
      </w:pPr>
      <w:r>
        <w:t>3. Sở Nông nghiệp và Môi trường, Ủy ban nhân dân các xã, phường theo chức năng, nhiệm vụ phối hợp cung cấp, rà soát thông tin về mỏ khoáng sản làm vật liệu xây dựng thông thường, bãi tập kết hợp pháp và tổ chức, cá nhân khai thác, sản xuất, kinh doanh hàng hóa thuộc phạm vi điều chỉnh của Quyết định này.</w:t>
      </w:r>
    </w:p>
    <w:p w14:paraId="4222AD1C" w14:textId="77777777" w:rsidR="003E5C08" w:rsidRDefault="00000000" w:rsidP="00E205C3">
      <w:pPr>
        <w:spacing w:before="40" w:line="240" w:lineRule="auto"/>
        <w:jc w:val="both"/>
      </w:pPr>
      <w:r>
        <w:t>4. Tổ chức, cá nhân kinh doanh hàng hóa thuộc Danh sách thực hiện kê khai giá tại địa phương có trách nhiệm kê khai giá đúng hàng hóa, đúng đặc điểm kinh tế - kỹ thuật, đúng điều kiện giao hàng; chịu trách nhiệm trước pháp luật về tính chính xác, trung thực của hồ sơ kê khai giá và các thông tin liên quan đến nguồn gốc, chất lượng hàng hóa.</w:t>
      </w:r>
    </w:p>
    <w:p w14:paraId="4757F439" w14:textId="77777777" w:rsidR="003E5C08" w:rsidRDefault="00000000" w:rsidP="00E205C3">
      <w:pPr>
        <w:spacing w:before="40" w:line="240" w:lineRule="auto"/>
        <w:jc w:val="both"/>
      </w:pPr>
      <w:r>
        <w:t>5. Trong quá trình thực hiện, trường hợp phát sinh vướng mắc hoặc cần điều chỉnh, bổ sung đặc điểm kinh tế - kỹ thuật cho phù hợp với yêu cầu quản lý nhà nước về giá và thực tiễn thị trường, Sở Xây dựng chủ trì, phối hợp với các cơ quan liên quan tổng hợp, báo cáo Ủy ban nhân dân tỉnh xem xét, quyết định.</w:t>
      </w:r>
    </w:p>
    <w:p w14:paraId="0644B635" w14:textId="07043186" w:rsidR="00C474A4" w:rsidRDefault="00C474A4" w:rsidP="00E205C3">
      <w:pPr>
        <w:spacing w:before="40" w:line="240" w:lineRule="auto"/>
        <w:jc w:val="both"/>
        <w:rPr>
          <w:b/>
          <w:bCs/>
        </w:rPr>
      </w:pPr>
      <w:r w:rsidRPr="00C474A4">
        <w:rPr>
          <w:b/>
          <w:bCs/>
        </w:rPr>
        <w:t>Điều 5. Quy định chuyển tiếp</w:t>
      </w:r>
    </w:p>
    <w:p w14:paraId="1B95CD4C" w14:textId="150ED29E" w:rsidR="00C474A4" w:rsidRDefault="00C474A4" w:rsidP="00E205C3">
      <w:pPr>
        <w:spacing w:before="40" w:line="240" w:lineRule="auto"/>
        <w:jc w:val="both"/>
      </w:pPr>
      <w:r w:rsidRPr="00C474A4">
        <w:t>Trường hợp văn bản quy phạm pháp luật, tiêu chuẩn, quy chuẩn kỹ thuật được viện dẫn tại Quyết định này được sửa đổi, bổ sung hoặc thay thế thì áp dụng theo văn bản được sửa đổi, bổ sung hoặc thay thế.</w:t>
      </w:r>
    </w:p>
    <w:p w14:paraId="1440FB83" w14:textId="7BCFC076" w:rsidR="003E5C08" w:rsidRDefault="00000000" w:rsidP="00E205C3">
      <w:pPr>
        <w:spacing w:before="40" w:line="240" w:lineRule="auto"/>
        <w:jc w:val="both"/>
      </w:pPr>
      <w:r>
        <w:rPr>
          <w:b/>
        </w:rPr>
        <w:t xml:space="preserve">Điều </w:t>
      </w:r>
      <w:r w:rsidR="00C474A4">
        <w:rPr>
          <w:b/>
        </w:rPr>
        <w:t>6</w:t>
      </w:r>
      <w:r>
        <w:rPr>
          <w:b/>
        </w:rPr>
        <w:t>. Điều khoản thi hành</w:t>
      </w:r>
    </w:p>
    <w:p w14:paraId="1BFD8B09" w14:textId="77777777" w:rsidR="003E5C08" w:rsidRDefault="00000000" w:rsidP="00E205C3">
      <w:pPr>
        <w:spacing w:before="40" w:line="240" w:lineRule="auto"/>
        <w:jc w:val="both"/>
      </w:pPr>
      <w:r>
        <w:t>1. Quyết định này có hiệu lực kể từ ngày       tháng       năm 2026.</w:t>
      </w:r>
    </w:p>
    <w:p w14:paraId="67A5430D" w14:textId="581E6D87" w:rsidR="003E5C08" w:rsidRDefault="00C474A4" w:rsidP="006740F6">
      <w:pPr>
        <w:spacing w:before="40" w:after="120" w:line="240" w:lineRule="auto"/>
        <w:jc w:val="both"/>
      </w:pPr>
      <w:r>
        <w:t>2. Chánh Văn phòng Ủy ban nhân dân tỉnh; Giám đốc các sở: Xây dựng, Tài chính, Nông nghiệp và Môi trường; Chủ tịch Ủy ban nhân dân các xã, phường; Thủ trưởng các cơ quan, đơn vị và tổ chức, cá nhân có liên quan chịu trách nhiệm thi hành Quyết định này./.</w:t>
      </w:r>
    </w:p>
    <w:tbl>
      <w:tblPr>
        <w:tblW w:w="0" w:type="auto"/>
        <w:jc w:val="center"/>
        <w:tblLook w:val="04A0" w:firstRow="1" w:lastRow="0" w:firstColumn="1" w:lastColumn="0" w:noHBand="0" w:noVBand="1"/>
      </w:tblPr>
      <w:tblGrid>
        <w:gridCol w:w="4844"/>
        <w:gridCol w:w="4844"/>
      </w:tblGrid>
      <w:tr w:rsidR="003E5C08" w14:paraId="55C0030A" w14:textId="77777777">
        <w:trPr>
          <w:jc w:val="center"/>
        </w:trPr>
        <w:tc>
          <w:tcPr>
            <w:tcW w:w="4844" w:type="dxa"/>
            <w:tcBorders>
              <w:top w:val="nil"/>
              <w:left w:val="nil"/>
              <w:bottom w:val="nil"/>
              <w:right w:val="nil"/>
            </w:tcBorders>
          </w:tcPr>
          <w:p w14:paraId="4A0A3ACA" w14:textId="3852BCFE" w:rsidR="003E5C08" w:rsidRDefault="00000000">
            <w:pPr>
              <w:ind w:firstLine="0"/>
            </w:pPr>
            <w:r>
              <w:rPr>
                <w:b/>
                <w:i/>
                <w:sz w:val="24"/>
              </w:rPr>
              <w:t>Nơi nhận:</w:t>
            </w:r>
            <w:r>
              <w:rPr>
                <w:sz w:val="22"/>
              </w:rPr>
              <w:br/>
              <w:t xml:space="preserve">- Như Điều </w:t>
            </w:r>
            <w:r w:rsidR="006D0D19">
              <w:rPr>
                <w:sz w:val="22"/>
              </w:rPr>
              <w:t>6</w:t>
            </w:r>
            <w:r>
              <w:rPr>
                <w:sz w:val="22"/>
              </w:rPr>
              <w:t>;</w:t>
            </w:r>
            <w:r>
              <w:rPr>
                <w:sz w:val="22"/>
              </w:rPr>
              <w:br/>
              <w:t>- Cục Kiểm tra văn bản và Quản lý xử lý vi phạm hành chính - Bộ Tư pháp;</w:t>
            </w:r>
            <w:r>
              <w:rPr>
                <w:sz w:val="22"/>
              </w:rPr>
              <w:br/>
              <w:t>- Thường trực Tỉnh ủy, Thường trực HĐND tỉnh;</w:t>
            </w:r>
            <w:r>
              <w:rPr>
                <w:sz w:val="22"/>
              </w:rPr>
              <w:br/>
              <w:t>- Chủ tịch, các PCT UBND tỉnh;</w:t>
            </w:r>
            <w:r>
              <w:rPr>
                <w:sz w:val="22"/>
              </w:rPr>
              <w:br/>
              <w:t>- Các PCVP UBND tỉnh;</w:t>
            </w:r>
            <w:r>
              <w:rPr>
                <w:sz w:val="22"/>
              </w:rPr>
              <w:br/>
              <w:t>- Trung tâm CB-TH tỉnh;</w:t>
            </w:r>
            <w:r>
              <w:rPr>
                <w:sz w:val="22"/>
              </w:rPr>
              <w:br/>
              <w:t>- Lưu: VT, XD1.</w:t>
            </w:r>
          </w:p>
        </w:tc>
        <w:tc>
          <w:tcPr>
            <w:tcW w:w="4844" w:type="dxa"/>
            <w:tcBorders>
              <w:top w:val="nil"/>
              <w:left w:val="nil"/>
              <w:bottom w:val="nil"/>
              <w:right w:val="nil"/>
            </w:tcBorders>
          </w:tcPr>
          <w:p w14:paraId="057E34E6" w14:textId="10190209" w:rsidR="003E5C08" w:rsidRDefault="00000000">
            <w:pPr>
              <w:ind w:firstLine="0"/>
              <w:jc w:val="center"/>
            </w:pPr>
            <w:r>
              <w:rPr>
                <w:b/>
                <w:sz w:val="26"/>
              </w:rPr>
              <w:t>TM. ỦY BAN NHÂN DÂN</w:t>
            </w:r>
            <w:r>
              <w:br/>
            </w:r>
            <w:r>
              <w:rPr>
                <w:b/>
                <w:sz w:val="26"/>
              </w:rPr>
              <w:t>CHỦ TỊCH</w:t>
            </w:r>
            <w:r>
              <w:rPr>
                <w:sz w:val="26"/>
              </w:rPr>
              <w:br/>
            </w:r>
            <w:r>
              <w:rPr>
                <w:sz w:val="26"/>
              </w:rPr>
              <w:br/>
            </w:r>
            <w:r>
              <w:rPr>
                <w:sz w:val="26"/>
              </w:rPr>
              <w:br/>
            </w:r>
            <w:r>
              <w:rPr>
                <w:sz w:val="26"/>
              </w:rPr>
              <w:br/>
            </w:r>
          </w:p>
        </w:tc>
      </w:tr>
    </w:tbl>
    <w:p w14:paraId="42418C45" w14:textId="77777777" w:rsidR="003E5C08" w:rsidRDefault="003E5C08">
      <w:pPr>
        <w:sectPr w:rsidR="003E5C08" w:rsidSect="00434D8E">
          <w:headerReference w:type="default" r:id="rId8"/>
          <w:pgSz w:w="12240" w:h="15840" w:code="1"/>
          <w:pgMar w:top="1134" w:right="900" w:bottom="1134" w:left="1843" w:header="720" w:footer="720" w:gutter="0"/>
          <w:cols w:space="720"/>
          <w:titlePg/>
          <w:docGrid w:linePitch="360"/>
        </w:sectPr>
      </w:pPr>
    </w:p>
    <w:p w14:paraId="67AF13A6" w14:textId="77777777" w:rsidR="003E5C08" w:rsidRDefault="00000000">
      <w:pPr>
        <w:ind w:firstLine="0"/>
        <w:jc w:val="center"/>
      </w:pPr>
      <w:r>
        <w:rPr>
          <w:b/>
          <w:sz w:val="26"/>
        </w:rPr>
        <w:lastRenderedPageBreak/>
        <w:t>Phụ lục I</w:t>
      </w:r>
    </w:p>
    <w:p w14:paraId="4291A650" w14:textId="77777777" w:rsidR="003E5C08" w:rsidRDefault="00000000">
      <w:pPr>
        <w:ind w:firstLine="0"/>
        <w:jc w:val="center"/>
      </w:pPr>
      <w:r>
        <w:rPr>
          <w:b/>
          <w:sz w:val="25"/>
        </w:rPr>
        <w:t>ĐẶC ĐIỂM KINH TẾ - KỸ THUẬT CỦA ĐẤT SAN LẤP THỰC HIỆN KÊ KHAI GIÁ TẠI ĐỊA PHƯƠNG</w:t>
      </w:r>
    </w:p>
    <w:p w14:paraId="68A63130" w14:textId="77777777" w:rsidR="003E5C08" w:rsidRDefault="00000000">
      <w:pPr>
        <w:ind w:firstLine="0"/>
        <w:jc w:val="center"/>
      </w:pPr>
      <w:r>
        <w:rPr>
          <w:i/>
          <w:sz w:val="22"/>
        </w:rPr>
        <w:t>(Kèm theo Quyết định số        /2026/QĐ-UBND ngày       tháng       năm 2026 của Ủy ban nhân dân tỉnh Hà Tĩnh)</w:t>
      </w:r>
    </w:p>
    <w:p w14:paraId="4AB9EE61" w14:textId="77777777" w:rsidR="003E5C08" w:rsidRDefault="00000000" w:rsidP="000C169A">
      <w:pPr>
        <w:spacing w:after="60"/>
        <w:jc w:val="both"/>
      </w:pPr>
      <w:r>
        <w:rPr>
          <w:sz w:val="23"/>
        </w:rPr>
        <w:t>Điều kiện giá kê khai chung: Giá bán tại mỏ, bãi khai thác hoặc bãi tập kết hợp pháp, trên phương tiện của bên mua tại địa điểm giao hàng; chưa bao gồm thuế giá trị gia tăng; chưa bao gồm chi phí vận chuyển đến công trình hoặc địa điểm khác, trừ trường hợp tổ chức kinh doanh kê khai thêm mức giá theo điều kiện giao hàng khác và thuyết minh rõ nội dung chi phí cấu thành.</w:t>
      </w:r>
    </w:p>
    <w:tbl>
      <w:tblPr>
        <w:tblStyle w:val="TableGrid"/>
        <w:tblW w:w="14486" w:type="dxa"/>
        <w:jc w:val="center"/>
        <w:tblLayout w:type="fixed"/>
        <w:tblLook w:val="04A0" w:firstRow="1" w:lastRow="0" w:firstColumn="1" w:lastColumn="0" w:noHBand="0" w:noVBand="1"/>
      </w:tblPr>
      <w:tblGrid>
        <w:gridCol w:w="510"/>
        <w:gridCol w:w="2268"/>
        <w:gridCol w:w="652"/>
        <w:gridCol w:w="8165"/>
        <w:gridCol w:w="2891"/>
      </w:tblGrid>
      <w:tr w:rsidR="003E5C08" w14:paraId="3D7F44BF" w14:textId="77777777" w:rsidTr="004F1B47">
        <w:trPr>
          <w:tblHeader/>
          <w:jc w:val="center"/>
        </w:trPr>
        <w:tc>
          <w:tcPr>
            <w:tcW w:w="510" w:type="dxa"/>
            <w:shd w:val="clear" w:color="auto" w:fill="D9EAD3"/>
            <w:vAlign w:val="center"/>
          </w:tcPr>
          <w:p w14:paraId="59FAE750" w14:textId="77777777" w:rsidR="003E5C08" w:rsidRDefault="00000000">
            <w:pPr>
              <w:ind w:firstLine="0"/>
              <w:jc w:val="center"/>
            </w:pPr>
            <w:r>
              <w:rPr>
                <w:b/>
                <w:sz w:val="22"/>
              </w:rPr>
              <w:t>STT</w:t>
            </w:r>
          </w:p>
        </w:tc>
        <w:tc>
          <w:tcPr>
            <w:tcW w:w="2268" w:type="dxa"/>
            <w:shd w:val="clear" w:color="auto" w:fill="D9EAD3"/>
            <w:vAlign w:val="center"/>
          </w:tcPr>
          <w:p w14:paraId="0988CD5F" w14:textId="77777777" w:rsidR="003E5C08" w:rsidRDefault="00000000">
            <w:pPr>
              <w:ind w:firstLine="0"/>
              <w:jc w:val="center"/>
            </w:pPr>
            <w:r>
              <w:rPr>
                <w:b/>
                <w:sz w:val="22"/>
              </w:rPr>
              <w:t>Tên hàng hóa/loại hàng hóa</w:t>
            </w:r>
          </w:p>
        </w:tc>
        <w:tc>
          <w:tcPr>
            <w:tcW w:w="652" w:type="dxa"/>
            <w:shd w:val="clear" w:color="auto" w:fill="D9EAD3"/>
            <w:vAlign w:val="center"/>
          </w:tcPr>
          <w:p w14:paraId="603B58CD" w14:textId="77777777" w:rsidR="003E5C08" w:rsidRDefault="00000000">
            <w:pPr>
              <w:ind w:firstLine="0"/>
              <w:jc w:val="center"/>
            </w:pPr>
            <w:r>
              <w:rPr>
                <w:b/>
                <w:sz w:val="22"/>
              </w:rPr>
              <w:t>Đơn vị tính</w:t>
            </w:r>
          </w:p>
        </w:tc>
        <w:tc>
          <w:tcPr>
            <w:tcW w:w="8165" w:type="dxa"/>
            <w:shd w:val="clear" w:color="auto" w:fill="D9EAD3"/>
            <w:vAlign w:val="center"/>
          </w:tcPr>
          <w:p w14:paraId="5FCA9F84" w14:textId="77777777" w:rsidR="003E5C08" w:rsidRDefault="00000000">
            <w:pPr>
              <w:ind w:firstLine="0"/>
              <w:jc w:val="center"/>
            </w:pPr>
            <w:r>
              <w:rPr>
                <w:b/>
                <w:sz w:val="22"/>
              </w:rPr>
              <w:t>Đặc điểm nhận diện và quy cách giao dịch</w:t>
            </w:r>
          </w:p>
        </w:tc>
        <w:tc>
          <w:tcPr>
            <w:tcW w:w="2891" w:type="dxa"/>
            <w:shd w:val="clear" w:color="auto" w:fill="D9EAD3"/>
            <w:vAlign w:val="center"/>
          </w:tcPr>
          <w:p w14:paraId="7B566C22" w14:textId="77777777" w:rsidR="003E5C08" w:rsidRDefault="00000000">
            <w:pPr>
              <w:ind w:firstLine="0"/>
              <w:jc w:val="center"/>
            </w:pPr>
            <w:r>
              <w:rPr>
                <w:b/>
                <w:sz w:val="22"/>
              </w:rPr>
              <w:t>Ghi chú</w:t>
            </w:r>
          </w:p>
        </w:tc>
      </w:tr>
      <w:tr w:rsidR="004F1B47" w14:paraId="45A14986" w14:textId="77777777" w:rsidTr="004F1B47">
        <w:trPr>
          <w:jc w:val="center"/>
        </w:trPr>
        <w:tc>
          <w:tcPr>
            <w:tcW w:w="510" w:type="dxa"/>
            <w:vAlign w:val="center"/>
          </w:tcPr>
          <w:p w14:paraId="567D188B" w14:textId="77777777" w:rsidR="004F1B47" w:rsidRDefault="004F1B47">
            <w:pPr>
              <w:spacing w:line="240" w:lineRule="auto"/>
              <w:ind w:firstLine="0"/>
              <w:jc w:val="center"/>
            </w:pPr>
            <w:r>
              <w:rPr>
                <w:sz w:val="21"/>
              </w:rPr>
              <w:t>1</w:t>
            </w:r>
          </w:p>
        </w:tc>
        <w:tc>
          <w:tcPr>
            <w:tcW w:w="2268" w:type="dxa"/>
            <w:vAlign w:val="center"/>
          </w:tcPr>
          <w:p w14:paraId="18237F70" w14:textId="77777777" w:rsidR="004F1B47" w:rsidRDefault="004F1B47">
            <w:pPr>
              <w:spacing w:line="240" w:lineRule="auto"/>
              <w:ind w:firstLine="0"/>
              <w:jc w:val="both"/>
            </w:pPr>
            <w:r>
              <w:rPr>
                <w:sz w:val="21"/>
              </w:rPr>
              <w:t>Đất san lấp; đất dùng để đắp, san lấp; đất đắp K95</w:t>
            </w:r>
          </w:p>
        </w:tc>
        <w:tc>
          <w:tcPr>
            <w:tcW w:w="652" w:type="dxa"/>
            <w:vAlign w:val="center"/>
          </w:tcPr>
          <w:p w14:paraId="24DCB798" w14:textId="77777777" w:rsidR="004F1B47" w:rsidRDefault="004F1B47">
            <w:pPr>
              <w:spacing w:line="240" w:lineRule="auto"/>
              <w:ind w:firstLine="0"/>
              <w:jc w:val="center"/>
            </w:pPr>
            <w:r>
              <w:rPr>
                <w:sz w:val="21"/>
              </w:rPr>
              <w:t>m</w:t>
            </w:r>
            <w:r w:rsidRPr="003F1E31">
              <w:rPr>
                <w:sz w:val="21"/>
                <w:vertAlign w:val="superscript"/>
              </w:rPr>
              <w:t>3</w:t>
            </w:r>
          </w:p>
        </w:tc>
        <w:tc>
          <w:tcPr>
            <w:tcW w:w="8165" w:type="dxa"/>
            <w:vAlign w:val="center"/>
          </w:tcPr>
          <w:p w14:paraId="427BF5C5" w14:textId="77777777" w:rsidR="004F1B47" w:rsidRDefault="004F1B47">
            <w:pPr>
              <w:spacing w:line="240" w:lineRule="auto"/>
              <w:ind w:firstLine="0"/>
              <w:jc w:val="both"/>
            </w:pPr>
            <w:r>
              <w:rPr>
                <w:sz w:val="21"/>
              </w:rPr>
              <w:t>Đất tự nhiên, đất đồi hoặc vật liệu đất phù hợp khác được khai thác từ mỏ/điểm khai thác được cơ quan có thẩm quyền cho phép; dùng để san lấp mặt bằng, đắp nền công trình. Trường hợp giao dịch theo tên “đất đắp K95” là tên thương phẩm gắn với yêu cầu sử dụng, thi công, nghiệm thu độ chặt theo hồ sơ thiết kế, tiêu chuẩn áp dụng và quy định kỹ thuật của công trình.</w:t>
            </w:r>
          </w:p>
        </w:tc>
        <w:tc>
          <w:tcPr>
            <w:tcW w:w="2891" w:type="dxa"/>
            <w:vMerge w:val="restart"/>
            <w:vAlign w:val="center"/>
          </w:tcPr>
          <w:p w14:paraId="357ED8A6" w14:textId="45AA2E01" w:rsidR="004F1B47" w:rsidRDefault="006F43DE">
            <w:pPr>
              <w:spacing w:line="240" w:lineRule="auto"/>
              <w:ind w:firstLine="0"/>
              <w:jc w:val="both"/>
            </w:pPr>
            <w:r>
              <w:rPr>
                <w:sz w:val="21"/>
              </w:rPr>
              <w:t xml:space="preserve">- </w:t>
            </w:r>
            <w:r w:rsidR="004F1B47">
              <w:rPr>
                <w:sz w:val="21"/>
              </w:rPr>
              <w:t>Độ chặt K là chỉ tiêu nghiệm thu sau thi công, không phải trạng thái có sẵn của vật liệu tại mỏ.</w:t>
            </w:r>
          </w:p>
          <w:p w14:paraId="28905F35" w14:textId="08395642" w:rsidR="004F1B47" w:rsidRDefault="006F43DE" w:rsidP="004F1B47">
            <w:pPr>
              <w:spacing w:line="240" w:lineRule="auto"/>
              <w:ind w:firstLine="0"/>
              <w:jc w:val="both"/>
            </w:pPr>
            <w:r>
              <w:rPr>
                <w:sz w:val="21"/>
              </w:rPr>
              <w:t xml:space="preserve">- </w:t>
            </w:r>
            <w:r w:rsidR="004F1B47">
              <w:rPr>
                <w:sz w:val="21"/>
              </w:rPr>
              <w:t>Tổ chức kinh doanh chịu trách nhiệm về nguồn gốc, chất lượng và sự phù hợp của vật liệu theo quy định pháp luật có liên quan.</w:t>
            </w:r>
          </w:p>
        </w:tc>
      </w:tr>
      <w:tr w:rsidR="004F1B47" w14:paraId="66931EE8" w14:textId="77777777" w:rsidTr="004F1B47">
        <w:trPr>
          <w:jc w:val="center"/>
        </w:trPr>
        <w:tc>
          <w:tcPr>
            <w:tcW w:w="510" w:type="dxa"/>
            <w:vAlign w:val="center"/>
          </w:tcPr>
          <w:p w14:paraId="578E6847" w14:textId="77777777" w:rsidR="004F1B47" w:rsidRDefault="004F1B47">
            <w:pPr>
              <w:spacing w:line="240" w:lineRule="auto"/>
              <w:ind w:firstLine="0"/>
              <w:jc w:val="center"/>
            </w:pPr>
            <w:r>
              <w:rPr>
                <w:sz w:val="21"/>
              </w:rPr>
              <w:t>2</w:t>
            </w:r>
          </w:p>
        </w:tc>
        <w:tc>
          <w:tcPr>
            <w:tcW w:w="2268" w:type="dxa"/>
            <w:vAlign w:val="center"/>
          </w:tcPr>
          <w:p w14:paraId="0D435A64" w14:textId="77777777" w:rsidR="004F1B47" w:rsidRDefault="004F1B47">
            <w:pPr>
              <w:spacing w:line="240" w:lineRule="auto"/>
              <w:ind w:firstLine="0"/>
              <w:jc w:val="both"/>
            </w:pPr>
            <w:r>
              <w:rPr>
                <w:sz w:val="21"/>
              </w:rPr>
              <w:t>Đất san lấp; đất dùng để đắp, san lấp; đất đắp K98</w:t>
            </w:r>
          </w:p>
        </w:tc>
        <w:tc>
          <w:tcPr>
            <w:tcW w:w="652" w:type="dxa"/>
            <w:vAlign w:val="center"/>
          </w:tcPr>
          <w:p w14:paraId="6BEF65B3" w14:textId="6FBEB8C7" w:rsidR="004F1B47" w:rsidRDefault="003F1E31">
            <w:pPr>
              <w:spacing w:line="240" w:lineRule="auto"/>
              <w:ind w:firstLine="0"/>
              <w:jc w:val="center"/>
            </w:pPr>
            <w:r>
              <w:rPr>
                <w:sz w:val="21"/>
              </w:rPr>
              <w:t>m</w:t>
            </w:r>
            <w:r w:rsidRPr="003F1E31">
              <w:rPr>
                <w:sz w:val="21"/>
                <w:vertAlign w:val="superscript"/>
              </w:rPr>
              <w:t>3</w:t>
            </w:r>
          </w:p>
        </w:tc>
        <w:tc>
          <w:tcPr>
            <w:tcW w:w="8165" w:type="dxa"/>
            <w:vAlign w:val="center"/>
          </w:tcPr>
          <w:p w14:paraId="5A1D66C8" w14:textId="77777777" w:rsidR="004F1B47" w:rsidRDefault="004F1B47">
            <w:pPr>
              <w:spacing w:line="240" w:lineRule="auto"/>
              <w:ind w:firstLine="0"/>
              <w:jc w:val="both"/>
            </w:pPr>
            <w:r>
              <w:rPr>
                <w:sz w:val="21"/>
              </w:rPr>
              <w:t>Đất tự nhiên, đất đồi hoặc vật liệu đất phù hợp khác được khai thác từ mỏ/điểm khai thác được cơ quan có thẩm quyền cho phép; dùng để san lấp mặt bằng, đắp nền công trình. Trường hợp giao dịch theo tên “đất đắp K98” là tên thương phẩm gắn với yêu cầu sử dụng, thi công, nghiệm thu độ chặt theo hồ sơ thiết kế, tiêu chuẩn áp dụng và quy định kỹ thuật của công trình.</w:t>
            </w:r>
          </w:p>
        </w:tc>
        <w:tc>
          <w:tcPr>
            <w:tcW w:w="2891" w:type="dxa"/>
            <w:vMerge/>
            <w:vAlign w:val="center"/>
          </w:tcPr>
          <w:p w14:paraId="34FCF015" w14:textId="164A251F" w:rsidR="004F1B47" w:rsidRDefault="004F1B47">
            <w:pPr>
              <w:spacing w:line="240" w:lineRule="auto"/>
              <w:ind w:firstLine="0"/>
              <w:jc w:val="both"/>
            </w:pPr>
          </w:p>
        </w:tc>
      </w:tr>
    </w:tbl>
    <w:p w14:paraId="35159CD9" w14:textId="77777777" w:rsidR="003E5C08" w:rsidRDefault="003E5C08">
      <w:pPr>
        <w:sectPr w:rsidR="003E5C08">
          <w:pgSz w:w="16838" w:h="11906" w:orient="landscape"/>
          <w:pgMar w:top="907" w:right="907" w:bottom="794" w:left="907" w:header="720" w:footer="720" w:gutter="0"/>
          <w:cols w:space="720"/>
          <w:docGrid w:linePitch="360"/>
        </w:sectPr>
      </w:pPr>
    </w:p>
    <w:p w14:paraId="192F0042" w14:textId="77777777" w:rsidR="003E5C08" w:rsidRDefault="00000000">
      <w:pPr>
        <w:ind w:firstLine="0"/>
        <w:jc w:val="center"/>
      </w:pPr>
      <w:r>
        <w:rPr>
          <w:b/>
          <w:sz w:val="26"/>
        </w:rPr>
        <w:lastRenderedPageBreak/>
        <w:t>Phụ lục II</w:t>
      </w:r>
    </w:p>
    <w:p w14:paraId="3B29AC22" w14:textId="77777777" w:rsidR="003E5C08" w:rsidRDefault="00000000">
      <w:pPr>
        <w:ind w:firstLine="0"/>
        <w:jc w:val="center"/>
      </w:pPr>
      <w:r>
        <w:rPr>
          <w:b/>
          <w:sz w:val="25"/>
        </w:rPr>
        <w:t>ĐẶC ĐIỂM KINH TẾ - KỸ THUẬT CỦA CÁT XÂY DỰNG THỰC HIỆN KÊ KHAI GIÁ TẠI ĐỊA PHƯƠNG</w:t>
      </w:r>
    </w:p>
    <w:p w14:paraId="48BD6B1E" w14:textId="77777777" w:rsidR="003E5C08" w:rsidRDefault="00000000">
      <w:pPr>
        <w:ind w:firstLine="0"/>
        <w:jc w:val="center"/>
      </w:pPr>
      <w:r>
        <w:rPr>
          <w:i/>
          <w:sz w:val="22"/>
        </w:rPr>
        <w:t>(Kèm theo Quyết định số        /2026/QĐ-UBND ngày       tháng       năm 2026 của Ủy ban nhân dân tỉnh Hà Tĩnh)</w:t>
      </w:r>
    </w:p>
    <w:p w14:paraId="25C344C7" w14:textId="77777777" w:rsidR="003E5C08" w:rsidRDefault="00000000" w:rsidP="000C169A">
      <w:pPr>
        <w:spacing w:after="60"/>
        <w:jc w:val="both"/>
      </w:pPr>
      <w:r>
        <w:rPr>
          <w:sz w:val="23"/>
        </w:rPr>
        <w:t>Điều kiện giá kê khai chung: Giá bán tại mỏ, bãi khai thác hoặc bãi tập kết hợp pháp, trên phương tiện của bên mua tại địa điểm giao hàng; chưa bao gồm thuế giá trị gia tăng; chưa bao gồm chi phí vận chuyển đến công trình hoặc địa điểm khác, trừ trường hợp tổ chức kinh doanh kê khai thêm mức giá theo điều kiện giao hàng khác và thuyết minh rõ nội dung chi phí cấu thành.</w:t>
      </w:r>
    </w:p>
    <w:tbl>
      <w:tblPr>
        <w:tblStyle w:val="TableGrid"/>
        <w:tblW w:w="14486" w:type="dxa"/>
        <w:jc w:val="center"/>
        <w:tblLayout w:type="fixed"/>
        <w:tblLook w:val="04A0" w:firstRow="1" w:lastRow="0" w:firstColumn="1" w:lastColumn="0" w:noHBand="0" w:noVBand="1"/>
      </w:tblPr>
      <w:tblGrid>
        <w:gridCol w:w="510"/>
        <w:gridCol w:w="2268"/>
        <w:gridCol w:w="652"/>
        <w:gridCol w:w="8165"/>
        <w:gridCol w:w="2891"/>
      </w:tblGrid>
      <w:tr w:rsidR="003E5C08" w14:paraId="3278A494" w14:textId="77777777" w:rsidTr="00E50A8F">
        <w:trPr>
          <w:tblHeader/>
          <w:jc w:val="center"/>
        </w:trPr>
        <w:tc>
          <w:tcPr>
            <w:tcW w:w="510" w:type="dxa"/>
            <w:shd w:val="clear" w:color="auto" w:fill="D9EAD3"/>
            <w:vAlign w:val="center"/>
          </w:tcPr>
          <w:p w14:paraId="4F3248D4" w14:textId="77777777" w:rsidR="003E5C08" w:rsidRDefault="00000000">
            <w:pPr>
              <w:ind w:firstLine="0"/>
              <w:jc w:val="center"/>
            </w:pPr>
            <w:r>
              <w:rPr>
                <w:b/>
                <w:sz w:val="22"/>
              </w:rPr>
              <w:t>STT</w:t>
            </w:r>
          </w:p>
        </w:tc>
        <w:tc>
          <w:tcPr>
            <w:tcW w:w="2268" w:type="dxa"/>
            <w:shd w:val="clear" w:color="auto" w:fill="D9EAD3"/>
            <w:vAlign w:val="center"/>
          </w:tcPr>
          <w:p w14:paraId="5720D23E" w14:textId="77777777" w:rsidR="003E5C08" w:rsidRDefault="00000000">
            <w:pPr>
              <w:ind w:firstLine="0"/>
              <w:jc w:val="center"/>
            </w:pPr>
            <w:r>
              <w:rPr>
                <w:b/>
                <w:sz w:val="22"/>
              </w:rPr>
              <w:t>Tên hàng hóa/loại hàng hóa</w:t>
            </w:r>
          </w:p>
        </w:tc>
        <w:tc>
          <w:tcPr>
            <w:tcW w:w="652" w:type="dxa"/>
            <w:shd w:val="clear" w:color="auto" w:fill="D9EAD3"/>
            <w:vAlign w:val="center"/>
          </w:tcPr>
          <w:p w14:paraId="212E7D93" w14:textId="77777777" w:rsidR="003E5C08" w:rsidRDefault="00000000">
            <w:pPr>
              <w:ind w:firstLine="0"/>
              <w:jc w:val="center"/>
            </w:pPr>
            <w:r>
              <w:rPr>
                <w:b/>
                <w:sz w:val="22"/>
              </w:rPr>
              <w:t>Đơn vị tính</w:t>
            </w:r>
          </w:p>
        </w:tc>
        <w:tc>
          <w:tcPr>
            <w:tcW w:w="8165" w:type="dxa"/>
            <w:shd w:val="clear" w:color="auto" w:fill="D9EAD3"/>
            <w:vAlign w:val="center"/>
          </w:tcPr>
          <w:p w14:paraId="0F943D35" w14:textId="77777777" w:rsidR="003E5C08" w:rsidRDefault="00000000">
            <w:pPr>
              <w:ind w:firstLine="0"/>
              <w:jc w:val="center"/>
            </w:pPr>
            <w:r>
              <w:rPr>
                <w:b/>
                <w:sz w:val="22"/>
              </w:rPr>
              <w:t>Đặc điểm nhận diện và quy cách giao dịch</w:t>
            </w:r>
          </w:p>
        </w:tc>
        <w:tc>
          <w:tcPr>
            <w:tcW w:w="2891" w:type="dxa"/>
            <w:shd w:val="clear" w:color="auto" w:fill="D9EAD3"/>
            <w:vAlign w:val="center"/>
          </w:tcPr>
          <w:p w14:paraId="44FCD4B3" w14:textId="77777777" w:rsidR="003E5C08" w:rsidRDefault="00000000">
            <w:pPr>
              <w:ind w:firstLine="0"/>
              <w:jc w:val="center"/>
            </w:pPr>
            <w:r>
              <w:rPr>
                <w:b/>
                <w:sz w:val="22"/>
              </w:rPr>
              <w:t>Ghi chú</w:t>
            </w:r>
          </w:p>
        </w:tc>
      </w:tr>
      <w:tr w:rsidR="003F1E31" w14:paraId="1B5B94BF" w14:textId="77777777" w:rsidTr="003F1E31">
        <w:trPr>
          <w:jc w:val="center"/>
        </w:trPr>
        <w:tc>
          <w:tcPr>
            <w:tcW w:w="510" w:type="dxa"/>
            <w:vAlign w:val="center"/>
          </w:tcPr>
          <w:p w14:paraId="594E9B87" w14:textId="77777777" w:rsidR="003F1E31" w:rsidRDefault="003F1E31" w:rsidP="003F1E31">
            <w:pPr>
              <w:spacing w:line="240" w:lineRule="auto"/>
              <w:ind w:firstLine="0"/>
              <w:jc w:val="center"/>
            </w:pPr>
            <w:r>
              <w:rPr>
                <w:sz w:val="21"/>
              </w:rPr>
              <w:t>1</w:t>
            </w:r>
          </w:p>
        </w:tc>
        <w:tc>
          <w:tcPr>
            <w:tcW w:w="2268" w:type="dxa"/>
            <w:vAlign w:val="center"/>
          </w:tcPr>
          <w:p w14:paraId="37B17B1C" w14:textId="77777777" w:rsidR="003F1E31" w:rsidRDefault="003F1E31" w:rsidP="003F1E31">
            <w:pPr>
              <w:spacing w:line="240" w:lineRule="auto"/>
              <w:ind w:firstLine="0"/>
              <w:jc w:val="both"/>
            </w:pPr>
            <w:r>
              <w:rPr>
                <w:sz w:val="21"/>
              </w:rPr>
              <w:t>Cát xây</w:t>
            </w:r>
          </w:p>
        </w:tc>
        <w:tc>
          <w:tcPr>
            <w:tcW w:w="652" w:type="dxa"/>
            <w:vAlign w:val="center"/>
          </w:tcPr>
          <w:p w14:paraId="2ECCBEAF" w14:textId="39283F5E" w:rsidR="003F1E31" w:rsidRDefault="003F1E31" w:rsidP="003F1E31">
            <w:pPr>
              <w:spacing w:line="240" w:lineRule="auto"/>
              <w:ind w:firstLine="0"/>
              <w:jc w:val="center"/>
            </w:pPr>
            <w:r w:rsidRPr="00451E75">
              <w:rPr>
                <w:sz w:val="21"/>
              </w:rPr>
              <w:t>m</w:t>
            </w:r>
            <w:r w:rsidRPr="00451E75">
              <w:rPr>
                <w:sz w:val="21"/>
                <w:vertAlign w:val="superscript"/>
              </w:rPr>
              <w:t>3</w:t>
            </w:r>
          </w:p>
        </w:tc>
        <w:tc>
          <w:tcPr>
            <w:tcW w:w="8165" w:type="dxa"/>
            <w:vAlign w:val="center"/>
          </w:tcPr>
          <w:p w14:paraId="7FBC0D6C" w14:textId="77777777" w:rsidR="003F1E31" w:rsidRDefault="003F1E31" w:rsidP="003F1E31">
            <w:pPr>
              <w:spacing w:line="240" w:lineRule="auto"/>
              <w:ind w:firstLine="0"/>
              <w:jc w:val="both"/>
            </w:pPr>
            <w:r>
              <w:rPr>
                <w:sz w:val="21"/>
              </w:rPr>
              <w:t>Cát xây dựng có nguồn gốc khai thác, sản xuất hợp pháp; sử dụng chủ yếu cho công tác xây, sản xuất vữa xây dựng hoặc mục đích xây dựng thông thường theo yêu cầu kỹ thuật của công trình.</w:t>
            </w:r>
          </w:p>
        </w:tc>
        <w:tc>
          <w:tcPr>
            <w:tcW w:w="2891" w:type="dxa"/>
            <w:vMerge w:val="restart"/>
            <w:vAlign w:val="center"/>
          </w:tcPr>
          <w:p w14:paraId="0CF80395" w14:textId="5ACF3B22" w:rsidR="003F1E31" w:rsidRDefault="003F1E31" w:rsidP="003F1E31">
            <w:pPr>
              <w:spacing w:line="240" w:lineRule="auto"/>
              <w:ind w:firstLine="0"/>
              <w:jc w:val="both"/>
            </w:pPr>
            <w:r>
              <w:rPr>
                <w:sz w:val="21"/>
              </w:rPr>
              <w:t>- Kê khai rõ nguồn gốc, bãi/mỏ cung ứng và điều kiện giao hàng.</w:t>
            </w:r>
          </w:p>
          <w:p w14:paraId="21AE3066" w14:textId="20136734" w:rsidR="003F1E31" w:rsidRDefault="003F1E31" w:rsidP="003F1E31">
            <w:pPr>
              <w:spacing w:line="240" w:lineRule="auto"/>
              <w:ind w:firstLine="0"/>
              <w:jc w:val="both"/>
            </w:pPr>
            <w:r>
              <w:rPr>
                <w:sz w:val="21"/>
              </w:rPr>
              <w:t>- Chất lượng thực hiện theo tiêu chuẩn, quy chuẩn, hồ sơ công bố áp dụng hoặc yêu cầu của hợp đồng.</w:t>
            </w:r>
          </w:p>
          <w:p w14:paraId="32838C46" w14:textId="57C9A9D8" w:rsidR="003F1E31" w:rsidRDefault="003F1E31" w:rsidP="003F1E31">
            <w:pPr>
              <w:spacing w:line="240" w:lineRule="auto"/>
              <w:ind w:firstLine="0"/>
              <w:jc w:val="both"/>
            </w:pPr>
            <w:r>
              <w:rPr>
                <w:sz w:val="21"/>
              </w:rPr>
              <w:t>- Không quy định chi tiết mô đun độ lớn, thành phần hạt tại Quyết định này; thực hiện theo tiêu chuẩn áp dụng và yêu cầu kỹ thuật cụ thể.</w:t>
            </w:r>
          </w:p>
          <w:p w14:paraId="6C5BDDDF" w14:textId="19EA6F1A" w:rsidR="003F1E31" w:rsidRDefault="003F1E31" w:rsidP="003F1E31">
            <w:pPr>
              <w:spacing w:line="240" w:lineRule="auto"/>
              <w:ind w:firstLine="0"/>
              <w:jc w:val="both"/>
            </w:pPr>
            <w:r>
              <w:rPr>
                <w:sz w:val="21"/>
              </w:rPr>
              <w:t>- Trường hợp kê khai theo điều kiện giao hàng khác phải thuyết minh chi phí phát sinh.</w:t>
            </w:r>
          </w:p>
        </w:tc>
      </w:tr>
      <w:tr w:rsidR="003F1E31" w14:paraId="292253A7" w14:textId="77777777" w:rsidTr="003F1E31">
        <w:trPr>
          <w:jc w:val="center"/>
        </w:trPr>
        <w:tc>
          <w:tcPr>
            <w:tcW w:w="510" w:type="dxa"/>
            <w:vAlign w:val="center"/>
          </w:tcPr>
          <w:p w14:paraId="23662A0C" w14:textId="77777777" w:rsidR="003F1E31" w:rsidRDefault="003F1E31" w:rsidP="003F1E31">
            <w:pPr>
              <w:spacing w:line="240" w:lineRule="auto"/>
              <w:ind w:firstLine="0"/>
              <w:jc w:val="center"/>
            </w:pPr>
            <w:r>
              <w:rPr>
                <w:sz w:val="21"/>
              </w:rPr>
              <w:t>2</w:t>
            </w:r>
          </w:p>
        </w:tc>
        <w:tc>
          <w:tcPr>
            <w:tcW w:w="2268" w:type="dxa"/>
            <w:vAlign w:val="center"/>
          </w:tcPr>
          <w:p w14:paraId="2167CCDA" w14:textId="77777777" w:rsidR="003F1E31" w:rsidRDefault="003F1E31" w:rsidP="003F1E31">
            <w:pPr>
              <w:spacing w:line="240" w:lineRule="auto"/>
              <w:ind w:firstLine="0"/>
              <w:jc w:val="both"/>
            </w:pPr>
            <w:r>
              <w:rPr>
                <w:sz w:val="21"/>
              </w:rPr>
              <w:t>Cát trát</w:t>
            </w:r>
          </w:p>
        </w:tc>
        <w:tc>
          <w:tcPr>
            <w:tcW w:w="652" w:type="dxa"/>
            <w:vAlign w:val="center"/>
          </w:tcPr>
          <w:p w14:paraId="262A8D68" w14:textId="0D44120F" w:rsidR="003F1E31" w:rsidRDefault="003F1E31" w:rsidP="003F1E31">
            <w:pPr>
              <w:spacing w:line="240" w:lineRule="auto"/>
              <w:ind w:firstLine="0"/>
              <w:jc w:val="center"/>
            </w:pPr>
            <w:r w:rsidRPr="00451E75">
              <w:rPr>
                <w:sz w:val="21"/>
              </w:rPr>
              <w:t>m</w:t>
            </w:r>
            <w:r w:rsidRPr="00451E75">
              <w:rPr>
                <w:sz w:val="21"/>
                <w:vertAlign w:val="superscript"/>
              </w:rPr>
              <w:t>3</w:t>
            </w:r>
          </w:p>
        </w:tc>
        <w:tc>
          <w:tcPr>
            <w:tcW w:w="8165" w:type="dxa"/>
            <w:vAlign w:val="center"/>
          </w:tcPr>
          <w:p w14:paraId="497F89D3" w14:textId="77777777" w:rsidR="003F1E31" w:rsidRDefault="003F1E31" w:rsidP="003F1E31">
            <w:pPr>
              <w:spacing w:line="240" w:lineRule="auto"/>
              <w:ind w:firstLine="0"/>
              <w:jc w:val="both"/>
            </w:pPr>
            <w:r>
              <w:rPr>
                <w:sz w:val="21"/>
              </w:rPr>
              <w:t>Cát xây dựng có nguồn gốc khai thác, sản xuất hợp pháp; sử dụng chủ yếu cho công tác trát, hoàn thiện bề mặt và các công việc xây dựng phù hợp theo hồ sơ thiết kế, tiêu chuẩn áp dụng.</w:t>
            </w:r>
          </w:p>
        </w:tc>
        <w:tc>
          <w:tcPr>
            <w:tcW w:w="2891" w:type="dxa"/>
            <w:vMerge/>
            <w:vAlign w:val="center"/>
          </w:tcPr>
          <w:p w14:paraId="3CD74296" w14:textId="01D2BF0D" w:rsidR="003F1E31" w:rsidRDefault="003F1E31" w:rsidP="003F1E31">
            <w:pPr>
              <w:spacing w:line="240" w:lineRule="auto"/>
              <w:jc w:val="both"/>
            </w:pPr>
          </w:p>
        </w:tc>
      </w:tr>
      <w:tr w:rsidR="003F1E31" w14:paraId="20BC0984" w14:textId="77777777" w:rsidTr="003F1E31">
        <w:trPr>
          <w:jc w:val="center"/>
        </w:trPr>
        <w:tc>
          <w:tcPr>
            <w:tcW w:w="510" w:type="dxa"/>
            <w:vAlign w:val="center"/>
          </w:tcPr>
          <w:p w14:paraId="24EFFB5F" w14:textId="77777777" w:rsidR="003F1E31" w:rsidRDefault="003F1E31" w:rsidP="003F1E31">
            <w:pPr>
              <w:spacing w:line="240" w:lineRule="auto"/>
              <w:ind w:firstLine="0"/>
              <w:jc w:val="center"/>
            </w:pPr>
            <w:r>
              <w:rPr>
                <w:sz w:val="21"/>
              </w:rPr>
              <w:t>3</w:t>
            </w:r>
          </w:p>
        </w:tc>
        <w:tc>
          <w:tcPr>
            <w:tcW w:w="2268" w:type="dxa"/>
            <w:vAlign w:val="center"/>
          </w:tcPr>
          <w:p w14:paraId="258B2CDA" w14:textId="77777777" w:rsidR="003F1E31" w:rsidRDefault="003F1E31" w:rsidP="003F1E31">
            <w:pPr>
              <w:spacing w:line="240" w:lineRule="auto"/>
              <w:ind w:firstLine="0"/>
              <w:jc w:val="both"/>
            </w:pPr>
            <w:r>
              <w:rPr>
                <w:sz w:val="21"/>
              </w:rPr>
              <w:t>Cát đổ bê tông</w:t>
            </w:r>
          </w:p>
        </w:tc>
        <w:tc>
          <w:tcPr>
            <w:tcW w:w="652" w:type="dxa"/>
            <w:vAlign w:val="center"/>
          </w:tcPr>
          <w:p w14:paraId="674469A8" w14:textId="3FF05129" w:rsidR="003F1E31" w:rsidRDefault="003F1E31" w:rsidP="003F1E31">
            <w:pPr>
              <w:spacing w:line="240" w:lineRule="auto"/>
              <w:ind w:firstLine="0"/>
              <w:jc w:val="center"/>
            </w:pPr>
            <w:r w:rsidRPr="00451E75">
              <w:rPr>
                <w:sz w:val="21"/>
              </w:rPr>
              <w:t>m</w:t>
            </w:r>
            <w:r w:rsidRPr="00451E75">
              <w:rPr>
                <w:sz w:val="21"/>
                <w:vertAlign w:val="superscript"/>
              </w:rPr>
              <w:t>3</w:t>
            </w:r>
          </w:p>
        </w:tc>
        <w:tc>
          <w:tcPr>
            <w:tcW w:w="8165" w:type="dxa"/>
            <w:vAlign w:val="center"/>
          </w:tcPr>
          <w:p w14:paraId="4696304A" w14:textId="77777777" w:rsidR="003F1E31" w:rsidRDefault="003F1E31" w:rsidP="003F1E31">
            <w:pPr>
              <w:spacing w:line="240" w:lineRule="auto"/>
              <w:ind w:firstLine="0"/>
              <w:jc w:val="both"/>
            </w:pPr>
            <w:r>
              <w:rPr>
                <w:sz w:val="21"/>
              </w:rPr>
              <w:t>Cát xây dựng có nguồn gốc khai thác, sản xuất hợp pháp; sử dụng làm cốt liệu nhỏ cho bê tông, cấu kiện bê tông hoặc mục đích tương tự theo yêu cầu kỹ thuật của công trình.</w:t>
            </w:r>
          </w:p>
        </w:tc>
        <w:tc>
          <w:tcPr>
            <w:tcW w:w="2891" w:type="dxa"/>
            <w:vMerge/>
            <w:vAlign w:val="center"/>
          </w:tcPr>
          <w:p w14:paraId="0AC7740F" w14:textId="73A1BA16" w:rsidR="003F1E31" w:rsidRDefault="003F1E31" w:rsidP="003F1E31">
            <w:pPr>
              <w:spacing w:line="240" w:lineRule="auto"/>
              <w:jc w:val="both"/>
            </w:pPr>
          </w:p>
        </w:tc>
      </w:tr>
      <w:tr w:rsidR="003F1E31" w14:paraId="667079D1" w14:textId="77777777" w:rsidTr="003F1E31">
        <w:trPr>
          <w:jc w:val="center"/>
        </w:trPr>
        <w:tc>
          <w:tcPr>
            <w:tcW w:w="510" w:type="dxa"/>
            <w:vAlign w:val="center"/>
          </w:tcPr>
          <w:p w14:paraId="68C5CAEB" w14:textId="77777777" w:rsidR="003F1E31" w:rsidRDefault="003F1E31" w:rsidP="003F1E31">
            <w:pPr>
              <w:spacing w:line="240" w:lineRule="auto"/>
              <w:ind w:firstLine="0"/>
              <w:jc w:val="center"/>
            </w:pPr>
            <w:r>
              <w:rPr>
                <w:sz w:val="21"/>
              </w:rPr>
              <w:t>4</w:t>
            </w:r>
          </w:p>
        </w:tc>
        <w:tc>
          <w:tcPr>
            <w:tcW w:w="2268" w:type="dxa"/>
            <w:vAlign w:val="center"/>
          </w:tcPr>
          <w:p w14:paraId="07067B88" w14:textId="77777777" w:rsidR="003F1E31" w:rsidRDefault="003F1E31" w:rsidP="003F1E31">
            <w:pPr>
              <w:spacing w:line="240" w:lineRule="auto"/>
              <w:ind w:firstLine="0"/>
              <w:jc w:val="both"/>
            </w:pPr>
            <w:r>
              <w:rPr>
                <w:sz w:val="21"/>
              </w:rPr>
              <w:t>Cát san lấp</w:t>
            </w:r>
          </w:p>
        </w:tc>
        <w:tc>
          <w:tcPr>
            <w:tcW w:w="652" w:type="dxa"/>
            <w:vAlign w:val="center"/>
          </w:tcPr>
          <w:p w14:paraId="1EBDC1F0" w14:textId="4FEF8C19" w:rsidR="003F1E31" w:rsidRDefault="003F1E31" w:rsidP="003F1E31">
            <w:pPr>
              <w:spacing w:line="240" w:lineRule="auto"/>
              <w:ind w:firstLine="0"/>
              <w:jc w:val="center"/>
            </w:pPr>
            <w:r w:rsidRPr="00451E75">
              <w:rPr>
                <w:sz w:val="21"/>
              </w:rPr>
              <w:t>m</w:t>
            </w:r>
            <w:r w:rsidRPr="00451E75">
              <w:rPr>
                <w:sz w:val="21"/>
                <w:vertAlign w:val="superscript"/>
              </w:rPr>
              <w:t>3</w:t>
            </w:r>
          </w:p>
        </w:tc>
        <w:tc>
          <w:tcPr>
            <w:tcW w:w="8165" w:type="dxa"/>
            <w:vAlign w:val="center"/>
          </w:tcPr>
          <w:p w14:paraId="70C5CA22" w14:textId="77777777" w:rsidR="003F1E31" w:rsidRDefault="003F1E31" w:rsidP="003F1E31">
            <w:pPr>
              <w:spacing w:line="240" w:lineRule="auto"/>
              <w:ind w:firstLine="0"/>
              <w:jc w:val="both"/>
            </w:pPr>
            <w:r>
              <w:rPr>
                <w:sz w:val="21"/>
              </w:rPr>
              <w:t>Cát có nguồn gốc khai thác, sản xuất hợp pháp; sử dụng cho san lấp mặt bằng, đắp nền, xử lý nền hoặc mục đích san lấp khác theo yêu cầu thiết kế, hợp đồng.</w:t>
            </w:r>
          </w:p>
        </w:tc>
        <w:tc>
          <w:tcPr>
            <w:tcW w:w="2891" w:type="dxa"/>
            <w:vMerge/>
            <w:vAlign w:val="center"/>
          </w:tcPr>
          <w:p w14:paraId="6EE87229" w14:textId="77E5EA27" w:rsidR="003F1E31" w:rsidRDefault="003F1E31" w:rsidP="003F1E31">
            <w:pPr>
              <w:spacing w:line="240" w:lineRule="auto"/>
              <w:ind w:firstLine="0"/>
              <w:jc w:val="both"/>
            </w:pPr>
          </w:p>
        </w:tc>
      </w:tr>
    </w:tbl>
    <w:p w14:paraId="03FE2890" w14:textId="77777777" w:rsidR="003E5C08" w:rsidRDefault="003E5C08">
      <w:pPr>
        <w:sectPr w:rsidR="003E5C08">
          <w:pgSz w:w="16838" w:h="11906" w:orient="landscape"/>
          <w:pgMar w:top="907" w:right="907" w:bottom="794" w:left="907" w:header="720" w:footer="720" w:gutter="0"/>
          <w:cols w:space="720"/>
          <w:docGrid w:linePitch="360"/>
        </w:sectPr>
      </w:pPr>
    </w:p>
    <w:p w14:paraId="4866C36D" w14:textId="77777777" w:rsidR="003E5C08" w:rsidRDefault="00000000">
      <w:pPr>
        <w:ind w:firstLine="0"/>
        <w:jc w:val="center"/>
      </w:pPr>
      <w:r>
        <w:rPr>
          <w:b/>
          <w:sz w:val="26"/>
        </w:rPr>
        <w:lastRenderedPageBreak/>
        <w:t>Phụ lục III</w:t>
      </w:r>
    </w:p>
    <w:p w14:paraId="2963FF65" w14:textId="77777777" w:rsidR="003E5C08" w:rsidRDefault="00000000">
      <w:pPr>
        <w:ind w:firstLine="0"/>
        <w:jc w:val="center"/>
      </w:pPr>
      <w:r>
        <w:rPr>
          <w:b/>
          <w:sz w:val="25"/>
        </w:rPr>
        <w:t>ĐẶC ĐIỂM KINH TẾ - KỸ THUẬT CỦA ĐÁ XÂY DỰNG CÁC LOẠI THỰC HIỆN KÊ KHAI GIÁ TẠI ĐỊA PHƯƠNG</w:t>
      </w:r>
    </w:p>
    <w:p w14:paraId="7C499483" w14:textId="77777777" w:rsidR="003E5C08" w:rsidRDefault="00000000">
      <w:pPr>
        <w:ind w:firstLine="0"/>
        <w:jc w:val="center"/>
      </w:pPr>
      <w:r>
        <w:rPr>
          <w:i/>
          <w:sz w:val="22"/>
        </w:rPr>
        <w:t>(Kèm theo Quyết định số        /2026/QĐ-UBND ngày       tháng       năm 2026 của Ủy ban nhân dân tỉnh Hà Tĩnh)</w:t>
      </w:r>
    </w:p>
    <w:p w14:paraId="2DD36917" w14:textId="77777777" w:rsidR="003E5C08" w:rsidRDefault="00000000" w:rsidP="000C169A">
      <w:pPr>
        <w:spacing w:after="60"/>
        <w:jc w:val="both"/>
      </w:pPr>
      <w:r>
        <w:rPr>
          <w:sz w:val="23"/>
        </w:rPr>
        <w:t>Điều kiện giá kê khai chung: Giá bán tại mỏ, bãi khai thác hoặc bãi tập kết hợp pháp, trên phương tiện của bên mua tại địa điểm giao hàng; chưa bao gồm thuế giá trị gia tăng; chưa bao gồm chi phí vận chuyển đến công trình hoặc địa điểm khác, trừ trường hợp tổ chức kinh doanh kê khai thêm mức giá theo điều kiện giao hàng khác và thuyết minh rõ nội dung chi phí cấu thành.</w:t>
      </w:r>
    </w:p>
    <w:tbl>
      <w:tblPr>
        <w:tblStyle w:val="TableGrid"/>
        <w:tblW w:w="14486" w:type="dxa"/>
        <w:jc w:val="center"/>
        <w:tblLayout w:type="fixed"/>
        <w:tblLook w:val="04A0" w:firstRow="1" w:lastRow="0" w:firstColumn="1" w:lastColumn="0" w:noHBand="0" w:noVBand="1"/>
      </w:tblPr>
      <w:tblGrid>
        <w:gridCol w:w="510"/>
        <w:gridCol w:w="2268"/>
        <w:gridCol w:w="652"/>
        <w:gridCol w:w="8165"/>
        <w:gridCol w:w="2891"/>
      </w:tblGrid>
      <w:tr w:rsidR="003E5C08" w14:paraId="7E9B32C5" w14:textId="77777777" w:rsidTr="00E84AE0">
        <w:trPr>
          <w:tblHeader/>
          <w:jc w:val="center"/>
        </w:trPr>
        <w:tc>
          <w:tcPr>
            <w:tcW w:w="510" w:type="dxa"/>
            <w:shd w:val="clear" w:color="auto" w:fill="D9EAD3"/>
            <w:vAlign w:val="center"/>
          </w:tcPr>
          <w:p w14:paraId="227368CE" w14:textId="77777777" w:rsidR="003E5C08" w:rsidRDefault="00000000">
            <w:pPr>
              <w:ind w:firstLine="0"/>
              <w:jc w:val="center"/>
            </w:pPr>
            <w:r>
              <w:rPr>
                <w:b/>
                <w:sz w:val="22"/>
              </w:rPr>
              <w:t>STT</w:t>
            </w:r>
          </w:p>
        </w:tc>
        <w:tc>
          <w:tcPr>
            <w:tcW w:w="2268" w:type="dxa"/>
            <w:shd w:val="clear" w:color="auto" w:fill="D9EAD3"/>
            <w:vAlign w:val="center"/>
          </w:tcPr>
          <w:p w14:paraId="40886B52" w14:textId="77777777" w:rsidR="003E5C08" w:rsidRDefault="00000000">
            <w:pPr>
              <w:ind w:firstLine="0"/>
              <w:jc w:val="center"/>
            </w:pPr>
            <w:r>
              <w:rPr>
                <w:b/>
                <w:sz w:val="22"/>
              </w:rPr>
              <w:t>Tên hàng hóa/loại hàng hóa</w:t>
            </w:r>
          </w:p>
        </w:tc>
        <w:tc>
          <w:tcPr>
            <w:tcW w:w="652" w:type="dxa"/>
            <w:shd w:val="clear" w:color="auto" w:fill="D9EAD3"/>
            <w:vAlign w:val="center"/>
          </w:tcPr>
          <w:p w14:paraId="4C8A0360" w14:textId="77777777" w:rsidR="003E5C08" w:rsidRDefault="00000000">
            <w:pPr>
              <w:ind w:firstLine="0"/>
              <w:jc w:val="center"/>
            </w:pPr>
            <w:r>
              <w:rPr>
                <w:b/>
                <w:sz w:val="22"/>
              </w:rPr>
              <w:t>Đơn vị tính</w:t>
            </w:r>
          </w:p>
        </w:tc>
        <w:tc>
          <w:tcPr>
            <w:tcW w:w="8165" w:type="dxa"/>
            <w:shd w:val="clear" w:color="auto" w:fill="D9EAD3"/>
            <w:vAlign w:val="center"/>
          </w:tcPr>
          <w:p w14:paraId="65B06ADD" w14:textId="77777777" w:rsidR="003E5C08" w:rsidRDefault="00000000">
            <w:pPr>
              <w:ind w:firstLine="0"/>
              <w:jc w:val="center"/>
            </w:pPr>
            <w:r>
              <w:rPr>
                <w:b/>
                <w:sz w:val="22"/>
              </w:rPr>
              <w:t>Đặc điểm nhận diện và quy cách giao dịch</w:t>
            </w:r>
          </w:p>
        </w:tc>
        <w:tc>
          <w:tcPr>
            <w:tcW w:w="2891" w:type="dxa"/>
            <w:shd w:val="clear" w:color="auto" w:fill="D9EAD3"/>
            <w:vAlign w:val="center"/>
          </w:tcPr>
          <w:p w14:paraId="3C009D31" w14:textId="77777777" w:rsidR="003E5C08" w:rsidRDefault="00000000">
            <w:pPr>
              <w:ind w:firstLine="0"/>
              <w:jc w:val="center"/>
            </w:pPr>
            <w:r>
              <w:rPr>
                <w:b/>
                <w:sz w:val="22"/>
              </w:rPr>
              <w:t>Ghi chú</w:t>
            </w:r>
          </w:p>
        </w:tc>
      </w:tr>
      <w:tr w:rsidR="00426DFC" w14:paraId="5AF30969" w14:textId="77777777" w:rsidTr="00E84AE0">
        <w:trPr>
          <w:jc w:val="center"/>
        </w:trPr>
        <w:tc>
          <w:tcPr>
            <w:tcW w:w="510" w:type="dxa"/>
            <w:vAlign w:val="center"/>
          </w:tcPr>
          <w:p w14:paraId="22F7A4D5" w14:textId="77777777" w:rsidR="00426DFC" w:rsidRDefault="00426DFC" w:rsidP="00E84AE0">
            <w:pPr>
              <w:spacing w:line="240" w:lineRule="auto"/>
              <w:ind w:firstLine="0"/>
              <w:jc w:val="center"/>
            </w:pPr>
            <w:r>
              <w:rPr>
                <w:sz w:val="21"/>
              </w:rPr>
              <w:t>1</w:t>
            </w:r>
          </w:p>
        </w:tc>
        <w:tc>
          <w:tcPr>
            <w:tcW w:w="2268" w:type="dxa"/>
            <w:vAlign w:val="center"/>
          </w:tcPr>
          <w:p w14:paraId="117B3D33" w14:textId="77777777" w:rsidR="00426DFC" w:rsidRDefault="00426DFC" w:rsidP="00E84AE0">
            <w:pPr>
              <w:spacing w:line="240" w:lineRule="auto"/>
              <w:ind w:firstLine="0"/>
              <w:jc w:val="both"/>
            </w:pPr>
            <w:r>
              <w:rPr>
                <w:sz w:val="21"/>
              </w:rPr>
              <w:t>Đá hộc</w:t>
            </w:r>
          </w:p>
        </w:tc>
        <w:tc>
          <w:tcPr>
            <w:tcW w:w="652" w:type="dxa"/>
            <w:vAlign w:val="center"/>
          </w:tcPr>
          <w:p w14:paraId="3FE77B62" w14:textId="30705EFE" w:rsidR="00426DFC" w:rsidRDefault="00426DFC" w:rsidP="00E84AE0">
            <w:pPr>
              <w:spacing w:line="240" w:lineRule="auto"/>
              <w:ind w:firstLine="0"/>
              <w:jc w:val="center"/>
            </w:pPr>
            <w:r w:rsidRPr="00451E75">
              <w:rPr>
                <w:sz w:val="21"/>
              </w:rPr>
              <w:t>m</w:t>
            </w:r>
            <w:r w:rsidRPr="00451E75">
              <w:rPr>
                <w:sz w:val="21"/>
                <w:vertAlign w:val="superscript"/>
              </w:rPr>
              <w:t>3</w:t>
            </w:r>
          </w:p>
        </w:tc>
        <w:tc>
          <w:tcPr>
            <w:tcW w:w="8165" w:type="dxa"/>
            <w:vAlign w:val="center"/>
          </w:tcPr>
          <w:p w14:paraId="2E753EBC" w14:textId="77777777" w:rsidR="00426DFC" w:rsidRDefault="00426DFC" w:rsidP="00E84AE0">
            <w:pPr>
              <w:spacing w:line="240" w:lineRule="auto"/>
              <w:ind w:firstLine="0"/>
              <w:jc w:val="both"/>
            </w:pPr>
            <w:r>
              <w:rPr>
                <w:sz w:val="21"/>
              </w:rPr>
              <w:t>Đá xây dựng có nguồn gốc khai thác, sản xuất hợp pháp; quy cách dạng hộc, cục lớn, sử dụng cho xây, kè, móng, gia cố hoặc mục đích xây dựng tương tự theo yêu cầu kỹ thuật.</w:t>
            </w:r>
          </w:p>
        </w:tc>
        <w:tc>
          <w:tcPr>
            <w:tcW w:w="2891" w:type="dxa"/>
            <w:vMerge w:val="restart"/>
            <w:vAlign w:val="center"/>
          </w:tcPr>
          <w:p w14:paraId="61E5DE0B" w14:textId="7F67A1AE" w:rsidR="00426DFC" w:rsidRDefault="00426DFC" w:rsidP="00E84AE0">
            <w:pPr>
              <w:spacing w:line="240" w:lineRule="auto"/>
              <w:ind w:firstLine="0"/>
              <w:jc w:val="both"/>
            </w:pPr>
            <w:r>
              <w:rPr>
                <w:sz w:val="21"/>
              </w:rPr>
              <w:t>- Kê khai rõ mỏ/cơ sở sản xuất, kích cỡ hoặc quy cách giao dịch nếu có.</w:t>
            </w:r>
          </w:p>
          <w:p w14:paraId="4A84435B" w14:textId="647381EC" w:rsidR="00426DFC" w:rsidRDefault="00426DFC" w:rsidP="00E84AE0">
            <w:pPr>
              <w:spacing w:line="240" w:lineRule="auto"/>
              <w:ind w:firstLine="0"/>
              <w:jc w:val="both"/>
            </w:pPr>
            <w:r>
              <w:rPr>
                <w:sz w:val="21"/>
              </w:rPr>
              <w:t>- Chất lượng theo tiêu chuẩn áp dụng, hồ sơ công bố hoặc yêu cầu hợp đồng.</w:t>
            </w:r>
          </w:p>
          <w:p w14:paraId="0ABBC3CC" w14:textId="629220AB" w:rsidR="00426DFC" w:rsidRDefault="00426DFC" w:rsidP="00E84AE0">
            <w:pPr>
              <w:spacing w:line="240" w:lineRule="auto"/>
              <w:ind w:firstLine="0"/>
              <w:jc w:val="both"/>
            </w:pPr>
            <w:r>
              <w:rPr>
                <w:sz w:val="21"/>
              </w:rPr>
              <w:t>- Kê khai rõ quy cách giao dịch và tiêu chuẩn/hồ sơ công bố áp dụng nếu có.</w:t>
            </w:r>
          </w:p>
          <w:p w14:paraId="60531D42" w14:textId="57CF9DC2" w:rsidR="00426DFC" w:rsidRDefault="00426DFC" w:rsidP="00E84AE0">
            <w:pPr>
              <w:spacing w:line="240" w:lineRule="auto"/>
              <w:ind w:firstLine="0"/>
              <w:jc w:val="both"/>
            </w:pPr>
            <w:r>
              <w:rPr>
                <w:sz w:val="21"/>
              </w:rPr>
              <w:t>- Kê khai rõ tên thương phẩm, nguồn gốc và điều kiện giao hàng.</w:t>
            </w:r>
          </w:p>
          <w:p w14:paraId="6F9656FF" w14:textId="0F60A96D" w:rsidR="00426DFC" w:rsidRDefault="00426DFC" w:rsidP="00E84AE0">
            <w:pPr>
              <w:spacing w:line="240" w:lineRule="auto"/>
              <w:ind w:firstLine="0"/>
              <w:jc w:val="both"/>
            </w:pPr>
            <w:r>
              <w:rPr>
                <w:sz w:val="21"/>
              </w:rPr>
              <w:t>- Kê khai rõ Dmax và tiêu chuẩn/hồ sơ công bố áp dụng nếu có.</w:t>
            </w:r>
          </w:p>
          <w:p w14:paraId="62F48DDC" w14:textId="4799234F" w:rsidR="00426DFC" w:rsidRDefault="00426DFC" w:rsidP="00426DFC">
            <w:pPr>
              <w:spacing w:line="240" w:lineRule="auto"/>
              <w:ind w:firstLine="0"/>
              <w:jc w:val="both"/>
            </w:pPr>
          </w:p>
        </w:tc>
      </w:tr>
      <w:tr w:rsidR="00426DFC" w14:paraId="5A270282" w14:textId="77777777" w:rsidTr="00E84AE0">
        <w:trPr>
          <w:jc w:val="center"/>
        </w:trPr>
        <w:tc>
          <w:tcPr>
            <w:tcW w:w="510" w:type="dxa"/>
            <w:vAlign w:val="center"/>
          </w:tcPr>
          <w:p w14:paraId="38BCEED7" w14:textId="77777777" w:rsidR="00426DFC" w:rsidRDefault="00426DFC" w:rsidP="00E84AE0">
            <w:pPr>
              <w:spacing w:line="240" w:lineRule="auto"/>
              <w:ind w:firstLine="0"/>
              <w:jc w:val="center"/>
            </w:pPr>
            <w:r>
              <w:rPr>
                <w:sz w:val="21"/>
              </w:rPr>
              <w:t>2</w:t>
            </w:r>
          </w:p>
        </w:tc>
        <w:tc>
          <w:tcPr>
            <w:tcW w:w="2268" w:type="dxa"/>
            <w:vAlign w:val="center"/>
          </w:tcPr>
          <w:p w14:paraId="432384F3" w14:textId="77777777" w:rsidR="00426DFC" w:rsidRDefault="00426DFC" w:rsidP="00E84AE0">
            <w:pPr>
              <w:spacing w:line="240" w:lineRule="auto"/>
              <w:ind w:firstLine="0"/>
              <w:jc w:val="both"/>
            </w:pPr>
            <w:r>
              <w:rPr>
                <w:sz w:val="21"/>
              </w:rPr>
              <w:t>Đá 4x6</w:t>
            </w:r>
          </w:p>
        </w:tc>
        <w:tc>
          <w:tcPr>
            <w:tcW w:w="652" w:type="dxa"/>
            <w:vAlign w:val="center"/>
          </w:tcPr>
          <w:p w14:paraId="44B025C2" w14:textId="2AA41D71" w:rsidR="00426DFC" w:rsidRDefault="00426DFC" w:rsidP="00E84AE0">
            <w:pPr>
              <w:spacing w:line="240" w:lineRule="auto"/>
              <w:ind w:firstLine="0"/>
              <w:jc w:val="center"/>
            </w:pPr>
            <w:r w:rsidRPr="00451E75">
              <w:rPr>
                <w:sz w:val="21"/>
              </w:rPr>
              <w:t>m</w:t>
            </w:r>
            <w:r w:rsidRPr="00451E75">
              <w:rPr>
                <w:sz w:val="21"/>
                <w:vertAlign w:val="superscript"/>
              </w:rPr>
              <w:t>3</w:t>
            </w:r>
          </w:p>
        </w:tc>
        <w:tc>
          <w:tcPr>
            <w:tcW w:w="8165" w:type="dxa"/>
            <w:vAlign w:val="center"/>
          </w:tcPr>
          <w:p w14:paraId="34A56842" w14:textId="77777777" w:rsidR="00426DFC" w:rsidRDefault="00426DFC" w:rsidP="00E84AE0">
            <w:pPr>
              <w:spacing w:line="240" w:lineRule="auto"/>
              <w:ind w:firstLine="0"/>
              <w:jc w:val="both"/>
            </w:pPr>
            <w:r>
              <w:rPr>
                <w:sz w:val="21"/>
              </w:rPr>
              <w:t>Đá dăm xây dựng được nghiền, sàng từ đá khai thác hợp pháp; quy cách kích cỡ danh định 4x6 hoặc tên gọi thương phẩm tương đương theo thực tế giao dịch.</w:t>
            </w:r>
          </w:p>
        </w:tc>
        <w:tc>
          <w:tcPr>
            <w:tcW w:w="2891" w:type="dxa"/>
            <w:vMerge/>
            <w:vAlign w:val="center"/>
          </w:tcPr>
          <w:p w14:paraId="489D6B37" w14:textId="4B6E4F52" w:rsidR="00426DFC" w:rsidRDefault="00426DFC" w:rsidP="00E84AE0">
            <w:pPr>
              <w:spacing w:line="240" w:lineRule="auto"/>
              <w:jc w:val="both"/>
            </w:pPr>
          </w:p>
        </w:tc>
      </w:tr>
      <w:tr w:rsidR="00426DFC" w14:paraId="35EADADA" w14:textId="77777777" w:rsidTr="00E84AE0">
        <w:trPr>
          <w:jc w:val="center"/>
        </w:trPr>
        <w:tc>
          <w:tcPr>
            <w:tcW w:w="510" w:type="dxa"/>
            <w:vAlign w:val="center"/>
          </w:tcPr>
          <w:p w14:paraId="259813CA" w14:textId="77777777" w:rsidR="00426DFC" w:rsidRDefault="00426DFC" w:rsidP="00E84AE0">
            <w:pPr>
              <w:spacing w:line="240" w:lineRule="auto"/>
              <w:ind w:firstLine="0"/>
              <w:jc w:val="center"/>
            </w:pPr>
            <w:r>
              <w:rPr>
                <w:sz w:val="21"/>
              </w:rPr>
              <w:t>3</w:t>
            </w:r>
          </w:p>
        </w:tc>
        <w:tc>
          <w:tcPr>
            <w:tcW w:w="2268" w:type="dxa"/>
            <w:vAlign w:val="center"/>
          </w:tcPr>
          <w:p w14:paraId="563BE8B3" w14:textId="77777777" w:rsidR="00426DFC" w:rsidRDefault="00426DFC" w:rsidP="00E84AE0">
            <w:pPr>
              <w:spacing w:line="240" w:lineRule="auto"/>
              <w:ind w:firstLine="0"/>
              <w:jc w:val="both"/>
            </w:pPr>
            <w:r>
              <w:rPr>
                <w:sz w:val="21"/>
              </w:rPr>
              <w:t>Đá 2x4</w:t>
            </w:r>
          </w:p>
        </w:tc>
        <w:tc>
          <w:tcPr>
            <w:tcW w:w="652" w:type="dxa"/>
            <w:vAlign w:val="center"/>
          </w:tcPr>
          <w:p w14:paraId="535AFD55" w14:textId="26145F19" w:rsidR="00426DFC" w:rsidRDefault="00426DFC" w:rsidP="00E84AE0">
            <w:pPr>
              <w:spacing w:line="240" w:lineRule="auto"/>
              <w:ind w:firstLine="0"/>
              <w:jc w:val="center"/>
            </w:pPr>
            <w:r w:rsidRPr="00451E75">
              <w:rPr>
                <w:sz w:val="21"/>
              </w:rPr>
              <w:t>m</w:t>
            </w:r>
            <w:r w:rsidRPr="00451E75">
              <w:rPr>
                <w:sz w:val="21"/>
                <w:vertAlign w:val="superscript"/>
              </w:rPr>
              <w:t>3</w:t>
            </w:r>
          </w:p>
        </w:tc>
        <w:tc>
          <w:tcPr>
            <w:tcW w:w="8165" w:type="dxa"/>
            <w:vAlign w:val="center"/>
          </w:tcPr>
          <w:p w14:paraId="64B58BB4" w14:textId="77777777" w:rsidR="00426DFC" w:rsidRDefault="00426DFC" w:rsidP="00E84AE0">
            <w:pPr>
              <w:spacing w:line="240" w:lineRule="auto"/>
              <w:ind w:firstLine="0"/>
              <w:jc w:val="both"/>
            </w:pPr>
            <w:r>
              <w:rPr>
                <w:sz w:val="21"/>
              </w:rPr>
              <w:t>Đá dăm xây dựng được nghiền, sàng từ đá khai thác hợp pháp; quy cách kích cỡ danh định 2x4 hoặc tên gọi thương phẩm tương đương theo thực tế giao dịch.</w:t>
            </w:r>
          </w:p>
        </w:tc>
        <w:tc>
          <w:tcPr>
            <w:tcW w:w="2891" w:type="dxa"/>
            <w:vMerge/>
            <w:vAlign w:val="center"/>
          </w:tcPr>
          <w:p w14:paraId="23BD72D3" w14:textId="7309934D" w:rsidR="00426DFC" w:rsidRDefault="00426DFC" w:rsidP="00E84AE0">
            <w:pPr>
              <w:spacing w:line="240" w:lineRule="auto"/>
              <w:jc w:val="both"/>
            </w:pPr>
          </w:p>
        </w:tc>
      </w:tr>
      <w:tr w:rsidR="00426DFC" w14:paraId="50FAF6CB" w14:textId="77777777" w:rsidTr="00E84AE0">
        <w:trPr>
          <w:jc w:val="center"/>
        </w:trPr>
        <w:tc>
          <w:tcPr>
            <w:tcW w:w="510" w:type="dxa"/>
            <w:vAlign w:val="center"/>
          </w:tcPr>
          <w:p w14:paraId="0DDA9AA4" w14:textId="77777777" w:rsidR="00426DFC" w:rsidRDefault="00426DFC" w:rsidP="00E84AE0">
            <w:pPr>
              <w:spacing w:line="240" w:lineRule="auto"/>
              <w:ind w:firstLine="0"/>
              <w:jc w:val="center"/>
            </w:pPr>
            <w:r>
              <w:rPr>
                <w:sz w:val="21"/>
              </w:rPr>
              <w:t>4</w:t>
            </w:r>
          </w:p>
        </w:tc>
        <w:tc>
          <w:tcPr>
            <w:tcW w:w="2268" w:type="dxa"/>
            <w:vAlign w:val="center"/>
          </w:tcPr>
          <w:p w14:paraId="166B36F5" w14:textId="77777777" w:rsidR="00426DFC" w:rsidRDefault="00426DFC" w:rsidP="00E84AE0">
            <w:pPr>
              <w:spacing w:line="240" w:lineRule="auto"/>
              <w:ind w:firstLine="0"/>
              <w:jc w:val="both"/>
            </w:pPr>
            <w:r>
              <w:rPr>
                <w:sz w:val="21"/>
              </w:rPr>
              <w:t>Đá 1x2</w:t>
            </w:r>
          </w:p>
        </w:tc>
        <w:tc>
          <w:tcPr>
            <w:tcW w:w="652" w:type="dxa"/>
            <w:vAlign w:val="center"/>
          </w:tcPr>
          <w:p w14:paraId="2A282361" w14:textId="37818310" w:rsidR="00426DFC" w:rsidRDefault="00426DFC" w:rsidP="00E84AE0">
            <w:pPr>
              <w:spacing w:line="240" w:lineRule="auto"/>
              <w:ind w:firstLine="0"/>
              <w:jc w:val="center"/>
            </w:pPr>
            <w:r w:rsidRPr="00451E75">
              <w:rPr>
                <w:sz w:val="21"/>
              </w:rPr>
              <w:t>m</w:t>
            </w:r>
            <w:r w:rsidRPr="00451E75">
              <w:rPr>
                <w:sz w:val="21"/>
                <w:vertAlign w:val="superscript"/>
              </w:rPr>
              <w:t>3</w:t>
            </w:r>
          </w:p>
        </w:tc>
        <w:tc>
          <w:tcPr>
            <w:tcW w:w="8165" w:type="dxa"/>
            <w:vAlign w:val="center"/>
          </w:tcPr>
          <w:p w14:paraId="60E219ED" w14:textId="77777777" w:rsidR="00426DFC" w:rsidRDefault="00426DFC" w:rsidP="00E84AE0">
            <w:pPr>
              <w:spacing w:line="240" w:lineRule="auto"/>
              <w:ind w:firstLine="0"/>
              <w:jc w:val="both"/>
            </w:pPr>
            <w:r>
              <w:rPr>
                <w:sz w:val="21"/>
              </w:rPr>
              <w:t>Đá dăm xây dựng được nghiền, sàng từ đá khai thác hợp pháp; quy cách kích cỡ danh định 1x2 hoặc tên gọi thương phẩm tương đương theo thực tế giao dịch.</w:t>
            </w:r>
          </w:p>
        </w:tc>
        <w:tc>
          <w:tcPr>
            <w:tcW w:w="2891" w:type="dxa"/>
            <w:vMerge/>
            <w:vAlign w:val="center"/>
          </w:tcPr>
          <w:p w14:paraId="5D098332" w14:textId="6EA59450" w:rsidR="00426DFC" w:rsidRDefault="00426DFC" w:rsidP="00E84AE0">
            <w:pPr>
              <w:spacing w:line="240" w:lineRule="auto"/>
              <w:jc w:val="both"/>
            </w:pPr>
          </w:p>
        </w:tc>
      </w:tr>
      <w:tr w:rsidR="00426DFC" w14:paraId="6E783F67" w14:textId="77777777" w:rsidTr="00E84AE0">
        <w:trPr>
          <w:jc w:val="center"/>
        </w:trPr>
        <w:tc>
          <w:tcPr>
            <w:tcW w:w="510" w:type="dxa"/>
            <w:vAlign w:val="center"/>
          </w:tcPr>
          <w:p w14:paraId="46DABD96" w14:textId="77777777" w:rsidR="00426DFC" w:rsidRDefault="00426DFC" w:rsidP="00E84AE0">
            <w:pPr>
              <w:spacing w:line="240" w:lineRule="auto"/>
              <w:ind w:firstLine="0"/>
              <w:jc w:val="center"/>
            </w:pPr>
            <w:r>
              <w:rPr>
                <w:sz w:val="21"/>
              </w:rPr>
              <w:t>5</w:t>
            </w:r>
          </w:p>
        </w:tc>
        <w:tc>
          <w:tcPr>
            <w:tcW w:w="2268" w:type="dxa"/>
            <w:vAlign w:val="center"/>
          </w:tcPr>
          <w:p w14:paraId="50A7F64A" w14:textId="77777777" w:rsidR="00426DFC" w:rsidRDefault="00426DFC" w:rsidP="00E84AE0">
            <w:pPr>
              <w:spacing w:line="240" w:lineRule="auto"/>
              <w:ind w:firstLine="0"/>
              <w:jc w:val="both"/>
            </w:pPr>
            <w:r>
              <w:rPr>
                <w:sz w:val="21"/>
              </w:rPr>
              <w:t>Đá 0,5x1</w:t>
            </w:r>
          </w:p>
        </w:tc>
        <w:tc>
          <w:tcPr>
            <w:tcW w:w="652" w:type="dxa"/>
            <w:vAlign w:val="center"/>
          </w:tcPr>
          <w:p w14:paraId="56A043B5" w14:textId="21A19FA7" w:rsidR="00426DFC" w:rsidRDefault="00426DFC" w:rsidP="00E84AE0">
            <w:pPr>
              <w:spacing w:line="240" w:lineRule="auto"/>
              <w:ind w:firstLine="0"/>
              <w:jc w:val="center"/>
            </w:pPr>
            <w:r w:rsidRPr="00451E75">
              <w:rPr>
                <w:sz w:val="21"/>
              </w:rPr>
              <w:t>m</w:t>
            </w:r>
            <w:r w:rsidRPr="00451E75">
              <w:rPr>
                <w:sz w:val="21"/>
                <w:vertAlign w:val="superscript"/>
              </w:rPr>
              <w:t>3</w:t>
            </w:r>
          </w:p>
        </w:tc>
        <w:tc>
          <w:tcPr>
            <w:tcW w:w="8165" w:type="dxa"/>
            <w:vAlign w:val="center"/>
          </w:tcPr>
          <w:p w14:paraId="5D5253E3" w14:textId="77777777" w:rsidR="00426DFC" w:rsidRDefault="00426DFC" w:rsidP="00E84AE0">
            <w:pPr>
              <w:spacing w:line="240" w:lineRule="auto"/>
              <w:ind w:firstLine="0"/>
              <w:jc w:val="both"/>
            </w:pPr>
            <w:r>
              <w:rPr>
                <w:sz w:val="21"/>
              </w:rPr>
              <w:t>Đá dăm xây dựng được nghiền, sàng từ đá khai thác hợp pháp; quy cách kích cỡ danh định 0,5x1 hoặc tên gọi thương phẩm tương đương theo thực tế giao dịch.</w:t>
            </w:r>
          </w:p>
        </w:tc>
        <w:tc>
          <w:tcPr>
            <w:tcW w:w="2891" w:type="dxa"/>
            <w:vMerge/>
            <w:vAlign w:val="center"/>
          </w:tcPr>
          <w:p w14:paraId="3A692333" w14:textId="027808C3" w:rsidR="00426DFC" w:rsidRDefault="00426DFC" w:rsidP="00E84AE0">
            <w:pPr>
              <w:spacing w:line="240" w:lineRule="auto"/>
              <w:jc w:val="both"/>
            </w:pPr>
          </w:p>
        </w:tc>
      </w:tr>
      <w:tr w:rsidR="00426DFC" w14:paraId="4C0DC9DC" w14:textId="77777777" w:rsidTr="00067D76">
        <w:trPr>
          <w:jc w:val="center"/>
        </w:trPr>
        <w:tc>
          <w:tcPr>
            <w:tcW w:w="510" w:type="dxa"/>
            <w:vAlign w:val="center"/>
          </w:tcPr>
          <w:p w14:paraId="097913E4" w14:textId="0B83DDC8" w:rsidR="00426DFC" w:rsidRDefault="000C4203" w:rsidP="00E84AE0">
            <w:pPr>
              <w:spacing w:line="240" w:lineRule="auto"/>
              <w:ind w:firstLine="0"/>
              <w:jc w:val="center"/>
            </w:pPr>
            <w:r>
              <w:rPr>
                <w:sz w:val="21"/>
              </w:rPr>
              <w:t>6</w:t>
            </w:r>
          </w:p>
        </w:tc>
        <w:tc>
          <w:tcPr>
            <w:tcW w:w="2268" w:type="dxa"/>
            <w:vAlign w:val="center"/>
          </w:tcPr>
          <w:p w14:paraId="04FCCD53" w14:textId="77777777" w:rsidR="00426DFC" w:rsidRDefault="00426DFC" w:rsidP="00E84AE0">
            <w:pPr>
              <w:spacing w:line="240" w:lineRule="auto"/>
              <w:ind w:firstLine="0"/>
              <w:jc w:val="both"/>
            </w:pPr>
            <w:r>
              <w:rPr>
                <w:sz w:val="21"/>
              </w:rPr>
              <w:t>Đá mi sàng, đá mạt hoặc tên thương phẩm tương đương</w:t>
            </w:r>
          </w:p>
        </w:tc>
        <w:tc>
          <w:tcPr>
            <w:tcW w:w="652" w:type="dxa"/>
            <w:vAlign w:val="center"/>
          </w:tcPr>
          <w:p w14:paraId="715DA52B" w14:textId="53D05681" w:rsidR="00426DFC" w:rsidRDefault="00426DFC" w:rsidP="00E84AE0">
            <w:pPr>
              <w:spacing w:line="240" w:lineRule="auto"/>
              <w:ind w:firstLine="0"/>
              <w:jc w:val="center"/>
            </w:pPr>
            <w:r w:rsidRPr="00611722">
              <w:rPr>
                <w:sz w:val="21"/>
              </w:rPr>
              <w:t>m</w:t>
            </w:r>
            <w:r w:rsidRPr="00611722">
              <w:rPr>
                <w:sz w:val="21"/>
                <w:vertAlign w:val="superscript"/>
              </w:rPr>
              <w:t>3</w:t>
            </w:r>
          </w:p>
        </w:tc>
        <w:tc>
          <w:tcPr>
            <w:tcW w:w="8165" w:type="dxa"/>
            <w:vAlign w:val="center"/>
          </w:tcPr>
          <w:p w14:paraId="30964F6B" w14:textId="77777777" w:rsidR="00426DFC" w:rsidRDefault="00426DFC" w:rsidP="00E84AE0">
            <w:pPr>
              <w:spacing w:line="240" w:lineRule="auto"/>
              <w:ind w:firstLine="0"/>
              <w:jc w:val="both"/>
            </w:pPr>
            <w:r>
              <w:rPr>
                <w:sz w:val="21"/>
              </w:rPr>
              <w:t>Sản phẩm hạt nhỏ thu được từ quá trình nghiền, sàng đá xây dựng có nguồn gốc khai thác hợp pháp; sử dụng cho sản xuất cấu kiện, vữa, bê tông nhựa, san lấp, đệm hoặc mục đích phù hợp theo tiêu chuẩn áp dụng và hợp đồng.</w:t>
            </w:r>
          </w:p>
        </w:tc>
        <w:tc>
          <w:tcPr>
            <w:tcW w:w="2891" w:type="dxa"/>
            <w:vMerge/>
            <w:vAlign w:val="center"/>
          </w:tcPr>
          <w:p w14:paraId="11718BD3" w14:textId="25A35F48" w:rsidR="00426DFC" w:rsidRDefault="00426DFC" w:rsidP="00E84AE0">
            <w:pPr>
              <w:spacing w:line="240" w:lineRule="auto"/>
              <w:jc w:val="both"/>
            </w:pPr>
          </w:p>
        </w:tc>
      </w:tr>
      <w:tr w:rsidR="00426DFC" w14:paraId="225F757D" w14:textId="77777777" w:rsidTr="00067D76">
        <w:trPr>
          <w:jc w:val="center"/>
        </w:trPr>
        <w:tc>
          <w:tcPr>
            <w:tcW w:w="510" w:type="dxa"/>
            <w:vAlign w:val="center"/>
          </w:tcPr>
          <w:p w14:paraId="4805DD34" w14:textId="16C34B6A" w:rsidR="00426DFC" w:rsidRDefault="000C4203" w:rsidP="00E84AE0">
            <w:pPr>
              <w:spacing w:line="240" w:lineRule="auto"/>
              <w:ind w:firstLine="0"/>
              <w:jc w:val="center"/>
            </w:pPr>
            <w:r>
              <w:rPr>
                <w:sz w:val="21"/>
              </w:rPr>
              <w:t>7</w:t>
            </w:r>
          </w:p>
        </w:tc>
        <w:tc>
          <w:tcPr>
            <w:tcW w:w="2268" w:type="dxa"/>
            <w:vAlign w:val="center"/>
          </w:tcPr>
          <w:p w14:paraId="2403FD64" w14:textId="77777777" w:rsidR="00426DFC" w:rsidRDefault="00426DFC" w:rsidP="00E84AE0">
            <w:pPr>
              <w:spacing w:line="240" w:lineRule="auto"/>
              <w:ind w:firstLine="0"/>
              <w:jc w:val="both"/>
            </w:pPr>
            <w:r>
              <w:rPr>
                <w:sz w:val="21"/>
              </w:rPr>
              <w:t>Cấp phối đá dăm, Dmax 37,5mm</w:t>
            </w:r>
          </w:p>
        </w:tc>
        <w:tc>
          <w:tcPr>
            <w:tcW w:w="652" w:type="dxa"/>
            <w:vAlign w:val="center"/>
          </w:tcPr>
          <w:p w14:paraId="481CB593" w14:textId="0675D348" w:rsidR="00426DFC" w:rsidRDefault="00426DFC" w:rsidP="00E84AE0">
            <w:pPr>
              <w:spacing w:line="240" w:lineRule="auto"/>
              <w:ind w:firstLine="0"/>
              <w:jc w:val="center"/>
            </w:pPr>
            <w:r w:rsidRPr="00611722">
              <w:rPr>
                <w:sz w:val="21"/>
              </w:rPr>
              <w:t>m</w:t>
            </w:r>
            <w:r w:rsidRPr="00611722">
              <w:rPr>
                <w:sz w:val="21"/>
                <w:vertAlign w:val="superscript"/>
              </w:rPr>
              <w:t>3</w:t>
            </w:r>
          </w:p>
        </w:tc>
        <w:tc>
          <w:tcPr>
            <w:tcW w:w="8165" w:type="dxa"/>
            <w:vAlign w:val="center"/>
          </w:tcPr>
          <w:p w14:paraId="106EB6DA" w14:textId="77777777" w:rsidR="00426DFC" w:rsidRDefault="00426DFC" w:rsidP="00E84AE0">
            <w:pPr>
              <w:spacing w:line="240" w:lineRule="auto"/>
              <w:ind w:firstLine="0"/>
              <w:jc w:val="both"/>
            </w:pPr>
            <w:r>
              <w:rPr>
                <w:sz w:val="21"/>
              </w:rPr>
              <w:t>Sản phẩm cấp phối đá dăm có cỡ hạt lớn nhất danh định Dmax 37,5mm; được nghiền, sàng, phối trộn từ đá khai thác hợp pháp; sử dụng cho lớp móng, nền đường hoặc mục đích phù hợp.</w:t>
            </w:r>
          </w:p>
        </w:tc>
        <w:tc>
          <w:tcPr>
            <w:tcW w:w="2891" w:type="dxa"/>
            <w:vMerge/>
            <w:vAlign w:val="center"/>
          </w:tcPr>
          <w:p w14:paraId="026972A2" w14:textId="3D1D4BD9" w:rsidR="00426DFC" w:rsidRDefault="00426DFC" w:rsidP="00E84AE0">
            <w:pPr>
              <w:spacing w:line="240" w:lineRule="auto"/>
              <w:jc w:val="both"/>
            </w:pPr>
          </w:p>
        </w:tc>
      </w:tr>
      <w:tr w:rsidR="00426DFC" w14:paraId="24BE3E1A" w14:textId="77777777" w:rsidTr="00067D76">
        <w:trPr>
          <w:jc w:val="center"/>
        </w:trPr>
        <w:tc>
          <w:tcPr>
            <w:tcW w:w="510" w:type="dxa"/>
            <w:vAlign w:val="center"/>
          </w:tcPr>
          <w:p w14:paraId="432AFE93" w14:textId="3730A4A8" w:rsidR="00426DFC" w:rsidRDefault="000C4203" w:rsidP="00E84AE0">
            <w:pPr>
              <w:spacing w:line="240" w:lineRule="auto"/>
              <w:ind w:firstLine="0"/>
              <w:jc w:val="center"/>
            </w:pPr>
            <w:r>
              <w:rPr>
                <w:sz w:val="21"/>
              </w:rPr>
              <w:t>8</w:t>
            </w:r>
          </w:p>
        </w:tc>
        <w:tc>
          <w:tcPr>
            <w:tcW w:w="2268" w:type="dxa"/>
            <w:vAlign w:val="center"/>
          </w:tcPr>
          <w:p w14:paraId="637526CA" w14:textId="77777777" w:rsidR="00426DFC" w:rsidRDefault="00426DFC" w:rsidP="00E84AE0">
            <w:pPr>
              <w:spacing w:line="240" w:lineRule="auto"/>
              <w:ind w:firstLine="0"/>
              <w:jc w:val="both"/>
            </w:pPr>
            <w:r>
              <w:rPr>
                <w:sz w:val="21"/>
              </w:rPr>
              <w:t>Cấp phối đá dăm, Dmax 25mm</w:t>
            </w:r>
          </w:p>
        </w:tc>
        <w:tc>
          <w:tcPr>
            <w:tcW w:w="652" w:type="dxa"/>
            <w:vAlign w:val="center"/>
          </w:tcPr>
          <w:p w14:paraId="205E07F9" w14:textId="68F5CA02" w:rsidR="00426DFC" w:rsidRDefault="00426DFC" w:rsidP="00E84AE0">
            <w:pPr>
              <w:spacing w:line="240" w:lineRule="auto"/>
              <w:ind w:firstLine="0"/>
              <w:jc w:val="center"/>
            </w:pPr>
            <w:r w:rsidRPr="00611722">
              <w:rPr>
                <w:sz w:val="21"/>
              </w:rPr>
              <w:t>m</w:t>
            </w:r>
            <w:r w:rsidRPr="00611722">
              <w:rPr>
                <w:sz w:val="21"/>
                <w:vertAlign w:val="superscript"/>
              </w:rPr>
              <w:t>3</w:t>
            </w:r>
          </w:p>
        </w:tc>
        <w:tc>
          <w:tcPr>
            <w:tcW w:w="8165" w:type="dxa"/>
            <w:vAlign w:val="center"/>
          </w:tcPr>
          <w:p w14:paraId="5264A735" w14:textId="77777777" w:rsidR="00426DFC" w:rsidRDefault="00426DFC" w:rsidP="00E84AE0">
            <w:pPr>
              <w:spacing w:line="240" w:lineRule="auto"/>
              <w:ind w:firstLine="0"/>
              <w:jc w:val="both"/>
            </w:pPr>
            <w:r>
              <w:rPr>
                <w:sz w:val="21"/>
              </w:rPr>
              <w:t>Sản phẩm cấp phối đá dăm có cỡ hạt lớn nhất danh định Dmax 25mm; được nghiền, sàng, phối trộn từ đá khai thác hợp pháp; sử dụng cho lớp móng, nền đường hoặc mục đích phù hợp.</w:t>
            </w:r>
          </w:p>
        </w:tc>
        <w:tc>
          <w:tcPr>
            <w:tcW w:w="2891" w:type="dxa"/>
            <w:vMerge/>
            <w:vAlign w:val="center"/>
          </w:tcPr>
          <w:p w14:paraId="7A6F8E97" w14:textId="0E058B08" w:rsidR="00426DFC" w:rsidRDefault="00426DFC" w:rsidP="00E84AE0">
            <w:pPr>
              <w:spacing w:line="240" w:lineRule="auto"/>
              <w:ind w:firstLine="0"/>
              <w:jc w:val="both"/>
            </w:pPr>
          </w:p>
        </w:tc>
      </w:tr>
    </w:tbl>
    <w:p w14:paraId="3161400A" w14:textId="77777777" w:rsidR="0047333D" w:rsidRDefault="0047333D"/>
    <w:sectPr w:rsidR="0047333D" w:rsidSect="00034616">
      <w:pgSz w:w="16838" w:h="11906" w:orient="landscape"/>
      <w:pgMar w:top="907" w:right="907" w:bottom="794"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2F4F" w14:textId="77777777" w:rsidR="00184675" w:rsidRDefault="00184675" w:rsidP="00C568D8">
      <w:pPr>
        <w:spacing w:line="240" w:lineRule="auto"/>
      </w:pPr>
      <w:r>
        <w:separator/>
      </w:r>
    </w:p>
  </w:endnote>
  <w:endnote w:type="continuationSeparator" w:id="0">
    <w:p w14:paraId="0300A570" w14:textId="77777777" w:rsidR="00184675" w:rsidRDefault="00184675" w:rsidP="00C568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8ED1" w14:textId="77777777" w:rsidR="00184675" w:rsidRDefault="00184675" w:rsidP="00C568D8">
      <w:pPr>
        <w:spacing w:line="240" w:lineRule="auto"/>
      </w:pPr>
      <w:r>
        <w:separator/>
      </w:r>
    </w:p>
  </w:footnote>
  <w:footnote w:type="continuationSeparator" w:id="0">
    <w:p w14:paraId="58CDC83D" w14:textId="77777777" w:rsidR="00184675" w:rsidRDefault="00184675" w:rsidP="00C568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079159"/>
      <w:docPartObj>
        <w:docPartGallery w:val="Page Numbers (Top of Page)"/>
        <w:docPartUnique/>
      </w:docPartObj>
    </w:sdtPr>
    <w:sdtEndPr>
      <w:rPr>
        <w:noProof/>
      </w:rPr>
    </w:sdtEndPr>
    <w:sdtContent>
      <w:p w14:paraId="1E8DEEF8" w14:textId="7D593137" w:rsidR="00C568D8" w:rsidRDefault="00C568D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C7114DC" w14:textId="77777777" w:rsidR="00C568D8" w:rsidRDefault="00C5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6856448">
    <w:abstractNumId w:val="8"/>
  </w:num>
  <w:num w:numId="2" w16cid:durableId="1220553582">
    <w:abstractNumId w:val="6"/>
  </w:num>
  <w:num w:numId="3" w16cid:durableId="1570074529">
    <w:abstractNumId w:val="5"/>
  </w:num>
  <w:num w:numId="4" w16cid:durableId="1675524592">
    <w:abstractNumId w:val="4"/>
  </w:num>
  <w:num w:numId="5" w16cid:durableId="649484026">
    <w:abstractNumId w:val="7"/>
  </w:num>
  <w:num w:numId="6" w16cid:durableId="729694703">
    <w:abstractNumId w:val="3"/>
  </w:num>
  <w:num w:numId="7" w16cid:durableId="960300773">
    <w:abstractNumId w:val="2"/>
  </w:num>
  <w:num w:numId="8" w16cid:durableId="1350568269">
    <w:abstractNumId w:val="1"/>
  </w:num>
  <w:num w:numId="9" w16cid:durableId="124526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0166"/>
    <w:rsid w:val="00034616"/>
    <w:rsid w:val="0006063C"/>
    <w:rsid w:val="00067D76"/>
    <w:rsid w:val="000C169A"/>
    <w:rsid w:val="000C4203"/>
    <w:rsid w:val="000D255C"/>
    <w:rsid w:val="00112CCC"/>
    <w:rsid w:val="0015074B"/>
    <w:rsid w:val="001674F6"/>
    <w:rsid w:val="00184675"/>
    <w:rsid w:val="001A5797"/>
    <w:rsid w:val="002318B5"/>
    <w:rsid w:val="002562D3"/>
    <w:rsid w:val="002656CB"/>
    <w:rsid w:val="0029639D"/>
    <w:rsid w:val="002B254D"/>
    <w:rsid w:val="002B2717"/>
    <w:rsid w:val="002F07A0"/>
    <w:rsid w:val="00326F90"/>
    <w:rsid w:val="003E5C08"/>
    <w:rsid w:val="003F1E31"/>
    <w:rsid w:val="00412C0B"/>
    <w:rsid w:val="00420C6D"/>
    <w:rsid w:val="00426BCA"/>
    <w:rsid w:val="00426DFC"/>
    <w:rsid w:val="00434D8E"/>
    <w:rsid w:val="0047333D"/>
    <w:rsid w:val="00495A6C"/>
    <w:rsid w:val="004F1B47"/>
    <w:rsid w:val="005D1301"/>
    <w:rsid w:val="006740F6"/>
    <w:rsid w:val="006D0D19"/>
    <w:rsid w:val="006F43DE"/>
    <w:rsid w:val="008501AC"/>
    <w:rsid w:val="008B7387"/>
    <w:rsid w:val="009333E8"/>
    <w:rsid w:val="00AA1D8D"/>
    <w:rsid w:val="00B47730"/>
    <w:rsid w:val="00B57CC5"/>
    <w:rsid w:val="00B84972"/>
    <w:rsid w:val="00BE19A9"/>
    <w:rsid w:val="00C474A4"/>
    <w:rsid w:val="00C568D8"/>
    <w:rsid w:val="00CB0664"/>
    <w:rsid w:val="00CE0C51"/>
    <w:rsid w:val="00DA64A3"/>
    <w:rsid w:val="00E205C3"/>
    <w:rsid w:val="00E50A8F"/>
    <w:rsid w:val="00E84AE0"/>
    <w:rsid w:val="00EF107E"/>
    <w:rsid w:val="00F23F41"/>
    <w:rsid w:val="00F519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463A56"/>
  <w14:defaultImageDpi w14:val="300"/>
  <w15:docId w15:val="{DCB84D57-76D1-47BC-A679-2AC321CE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259" w:lineRule="auto"/>
      <w:ind w:firstLine="720"/>
    </w:pPr>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TDC</cp:lastModifiedBy>
  <cp:revision>44</cp:revision>
  <dcterms:created xsi:type="dcterms:W3CDTF">2013-12-23T23:15:00Z</dcterms:created>
  <dcterms:modified xsi:type="dcterms:W3CDTF">2026-07-15T09:30:00Z</dcterms:modified>
  <cp:category/>
</cp:coreProperties>
</file>