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CellSpacing w:w="0" w:type="dxa"/>
        <w:tblInd w:w="-147" w:type="dxa"/>
        <w:shd w:val="clear" w:color="auto" w:fill="FFFFFF"/>
        <w:tblCellMar>
          <w:left w:w="0" w:type="dxa"/>
          <w:right w:w="0" w:type="dxa"/>
        </w:tblCellMar>
        <w:tblLook w:val="04A0" w:firstRow="1" w:lastRow="0" w:firstColumn="1" w:lastColumn="0" w:noHBand="0" w:noVBand="1"/>
      </w:tblPr>
      <w:tblGrid>
        <w:gridCol w:w="3261"/>
        <w:gridCol w:w="6095"/>
      </w:tblGrid>
      <w:tr w:rsidR="00CE18D1">
        <w:trPr>
          <w:trHeight w:val="533"/>
          <w:tblCellSpacing w:w="0" w:type="dxa"/>
        </w:trPr>
        <w:tc>
          <w:tcPr>
            <w:tcW w:w="3261" w:type="dxa"/>
            <w:shd w:val="clear" w:color="auto" w:fill="FFFFFF"/>
            <w:tcMar>
              <w:top w:w="0" w:type="dxa"/>
              <w:left w:w="108" w:type="dxa"/>
              <w:bottom w:w="0" w:type="dxa"/>
              <w:right w:w="108" w:type="dxa"/>
            </w:tcMar>
            <w:hideMark/>
          </w:tcPr>
          <w:p w:rsidR="00CE18D1" w:rsidRDefault="00622BCE">
            <w:pPr>
              <w:jc w:val="center"/>
              <w:rPr>
                <w:b/>
                <w:sz w:val="26"/>
                <w:szCs w:val="26"/>
              </w:rPr>
            </w:pPr>
            <w:r>
              <w:rPr>
                <w:b/>
                <w:noProof/>
                <w:sz w:val="26"/>
                <w:szCs w:val="26"/>
              </w:rPr>
              <mc:AlternateContent>
                <mc:Choice Requires="wps">
                  <w:drawing>
                    <wp:anchor distT="0" distB="0" distL="114300" distR="114300" simplePos="0" relativeHeight="251656704" behindDoc="0" locked="0" layoutInCell="1" allowOverlap="1">
                      <wp:simplePos x="0" y="0"/>
                      <wp:positionH relativeFrom="column">
                        <wp:align>center</wp:align>
                      </wp:positionH>
                      <wp:positionV relativeFrom="paragraph">
                        <wp:posOffset>397510</wp:posOffset>
                      </wp:positionV>
                      <wp:extent cx="590400" cy="0"/>
                      <wp:effectExtent l="0" t="0" r="0" b="0"/>
                      <wp:wrapNone/>
                      <wp:docPr id="303020554" name="Straight Connector 5"/>
                      <wp:cNvGraphicFramePr/>
                      <a:graphic xmlns:a="http://schemas.openxmlformats.org/drawingml/2006/main">
                        <a:graphicData uri="http://schemas.microsoft.com/office/word/2010/wordprocessingShape">
                          <wps:wsp>
                            <wps:cNvCnPr/>
                            <wps:spPr>
                              <a:xfrm>
                                <a:off x="0" y="0"/>
                                <a:ext cx="59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53A16E" id="Straight Connector 5" o:spid="_x0000_s1026" style="position:absolute;z-index:251656704;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1.3pt" to="46.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" strokecolor="black [3200]" strokeweight=".5pt">
                      <v:stroke joinstyle="miter"/>
                    </v:line>
                  </w:pict>
                </mc:Fallback>
              </mc:AlternateContent>
            </w:r>
            <w:r>
              <w:rPr>
                <w:b/>
                <w:sz w:val="26"/>
                <w:szCs w:val="26"/>
              </w:rPr>
              <w:t>ỦY BAN NHÂN DÂN</w:t>
            </w:r>
            <w:r>
              <w:rPr>
                <w:b/>
                <w:sz w:val="26"/>
                <w:szCs w:val="26"/>
              </w:rPr>
              <w:br/>
              <w:t>TỈNH HÀ TĨNH</w:t>
            </w:r>
          </w:p>
        </w:tc>
        <w:tc>
          <w:tcPr>
            <w:tcW w:w="6095" w:type="dxa"/>
            <w:shd w:val="clear" w:color="auto" w:fill="FFFFFF"/>
            <w:tcMar>
              <w:top w:w="0" w:type="dxa"/>
              <w:left w:w="108" w:type="dxa"/>
              <w:bottom w:w="0" w:type="dxa"/>
              <w:right w:w="108" w:type="dxa"/>
            </w:tcMar>
            <w:hideMark/>
          </w:tcPr>
          <w:p w:rsidR="00CE18D1" w:rsidRDefault="00622BCE">
            <w:pPr>
              <w:spacing w:after="240"/>
              <w:jc w:val="center"/>
              <w:rPr>
                <w:sz w:val="26"/>
                <w:szCs w:val="26"/>
              </w:rPr>
            </w:pPr>
            <w:r>
              <w:rPr>
                <w:b/>
                <w:bCs/>
                <w:noProof/>
                <w:sz w:val="26"/>
                <w:szCs w:val="26"/>
              </w:rPr>
              <mc:AlternateContent>
                <mc:Choice Requires="wps">
                  <w:drawing>
                    <wp:anchor distT="0" distB="0" distL="114300" distR="114300" simplePos="0" relativeHeight="251658752" behindDoc="0" locked="0" layoutInCell="1" allowOverlap="1">
                      <wp:simplePos x="0" y="0"/>
                      <wp:positionH relativeFrom="column">
                        <wp:posOffset>897890</wp:posOffset>
                      </wp:positionH>
                      <wp:positionV relativeFrom="paragraph">
                        <wp:posOffset>413385</wp:posOffset>
                      </wp:positionV>
                      <wp:extent cx="2165400" cy="0"/>
                      <wp:effectExtent l="0" t="0" r="0" b="0"/>
                      <wp:wrapNone/>
                      <wp:docPr id="88243613" name="Straight Connector 6"/>
                      <wp:cNvGraphicFramePr/>
                      <a:graphic xmlns:a="http://schemas.openxmlformats.org/drawingml/2006/main">
                        <a:graphicData uri="http://schemas.microsoft.com/office/word/2010/wordprocessingShape">
                          <wps:wsp>
                            <wps:cNvCnPr/>
                            <wps:spPr>
                              <a:xfrm>
                                <a:off x="0" y="0"/>
                                <a:ext cx="216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E7876C" id="Straight Connector 6"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7pt,32.55pt" to="241.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" strokecolor="black [3200]" strokeweight=".5pt">
                      <v:stroke joinstyle="miter"/>
                    </v:line>
                  </w:pict>
                </mc:Fallback>
              </mc:AlternateContent>
            </w:r>
            <w:r>
              <w:rPr>
                <w:b/>
                <w:bCs/>
                <w:sz w:val="26"/>
                <w:szCs w:val="26"/>
              </w:rPr>
              <w:t xml:space="preserve">      </w:t>
            </w:r>
            <w:r>
              <w:rPr>
                <w:b/>
                <w:bCs/>
                <w:sz w:val="26"/>
                <w:szCs w:val="26"/>
                <w:lang w:val="vi-VN"/>
              </w:rPr>
              <w:t>CỘNG HÒA XÃ HỘI CHỦ NGHĨA VIỆT NAM</w:t>
            </w:r>
            <w:r>
              <w:rPr>
                <w:b/>
                <w:bCs/>
                <w:sz w:val="26"/>
                <w:szCs w:val="26"/>
              </w:rPr>
              <w:br/>
            </w:r>
            <w:r>
              <w:rPr>
                <w:b/>
                <w:bCs/>
              </w:rPr>
              <w:t xml:space="preserve">     </w:t>
            </w:r>
            <w:r>
              <w:rPr>
                <w:b/>
                <w:bCs/>
                <w:lang w:val="vi-VN"/>
              </w:rPr>
              <w:t>Độc lập - Tự do - Hạnh phúc</w:t>
            </w:r>
          </w:p>
        </w:tc>
      </w:tr>
      <w:tr w:rsidR="00CE18D1">
        <w:trPr>
          <w:trHeight w:val="55"/>
          <w:tblCellSpacing w:w="0" w:type="dxa"/>
        </w:trPr>
        <w:tc>
          <w:tcPr>
            <w:tcW w:w="3261" w:type="dxa"/>
            <w:shd w:val="clear" w:color="auto" w:fill="FFFFFF"/>
            <w:tcMar>
              <w:top w:w="0" w:type="dxa"/>
              <w:left w:w="108" w:type="dxa"/>
              <w:bottom w:w="0" w:type="dxa"/>
              <w:right w:w="108" w:type="dxa"/>
            </w:tcMar>
            <w:hideMark/>
          </w:tcPr>
          <w:p w:rsidR="00CE18D1" w:rsidRDefault="00622BCE">
            <w:pPr>
              <w:jc w:val="center"/>
              <w:rPr>
                <w:b/>
                <w:sz w:val="26"/>
                <w:szCs w:val="26"/>
              </w:rPr>
            </w:pPr>
            <w:r>
              <w:rPr>
                <w:sz w:val="26"/>
                <w:szCs w:val="26"/>
              </w:rPr>
              <w:t>Số:           /TTr-UBND</w:t>
            </w:r>
          </w:p>
        </w:tc>
        <w:tc>
          <w:tcPr>
            <w:tcW w:w="6095" w:type="dxa"/>
            <w:shd w:val="clear" w:color="auto" w:fill="FFFFFF"/>
            <w:tcMar>
              <w:top w:w="0" w:type="dxa"/>
              <w:left w:w="108" w:type="dxa"/>
              <w:bottom w:w="0" w:type="dxa"/>
              <w:right w:w="108" w:type="dxa"/>
            </w:tcMar>
            <w:hideMark/>
          </w:tcPr>
          <w:p w:rsidR="00CE18D1" w:rsidRDefault="00622BCE">
            <w:pPr>
              <w:jc w:val="right"/>
            </w:pPr>
            <w:r>
              <w:rPr>
                <w:i/>
                <w:iCs/>
              </w:rPr>
              <w:t xml:space="preserve">Hà Tĩnh, </w:t>
            </w:r>
            <w:r>
              <w:rPr>
                <w:i/>
                <w:iCs/>
                <w:lang w:val="vi-VN"/>
              </w:rPr>
              <w:t>ngày</w:t>
            </w:r>
            <w:r>
              <w:rPr>
                <w:i/>
                <w:iCs/>
              </w:rPr>
              <w:t xml:space="preserve">       </w:t>
            </w:r>
            <w:r>
              <w:rPr>
                <w:i/>
                <w:iCs/>
                <w:lang w:val="vi-VN"/>
              </w:rPr>
              <w:t>tháng</w:t>
            </w:r>
            <w:r>
              <w:rPr>
                <w:i/>
                <w:iCs/>
              </w:rPr>
              <w:t xml:space="preserve"> 5</w:t>
            </w:r>
            <w:r>
              <w:rPr>
                <w:i/>
                <w:iCs/>
                <w:lang w:val="vi-VN"/>
              </w:rPr>
              <w:t xml:space="preserve"> năm 20</w:t>
            </w:r>
            <w:r>
              <w:rPr>
                <w:i/>
                <w:iCs/>
              </w:rPr>
              <w:t>26</w:t>
            </w:r>
          </w:p>
        </w:tc>
      </w:tr>
    </w:tbl>
    <w:p w:rsidR="00CE18D1" w:rsidRDefault="00CE18D1">
      <w:pPr>
        <w:shd w:val="clear" w:color="auto" w:fill="FFFFFF"/>
        <w:spacing w:before="100" w:after="100"/>
        <w:jc w:val="both"/>
        <w:rPr>
          <w:b/>
          <w:bCs/>
        </w:rPr>
      </w:pPr>
    </w:p>
    <w:p w:rsidR="00CE18D1" w:rsidRDefault="00622BCE">
      <w:pPr>
        <w:shd w:val="clear" w:color="auto" w:fill="FFFFFF"/>
        <w:spacing w:before="100" w:after="100"/>
        <w:jc w:val="both"/>
        <w:rPr>
          <w:b/>
          <w:bCs/>
          <w:sz w:val="32"/>
          <w:szCs w:val="32"/>
        </w:rPr>
      </w:pPr>
      <w:r>
        <w:rPr>
          <w:b/>
          <w:bCs/>
        </w:rPr>
        <w:t xml:space="preserve">              </w:t>
      </w:r>
      <w:r>
        <w:rPr>
          <w:b/>
          <w:bCs/>
          <w:sz w:val="32"/>
          <w:szCs w:val="32"/>
        </w:rPr>
        <w:t>DỰ THẢO</w:t>
      </w:r>
    </w:p>
    <w:p w:rsidR="00CE18D1" w:rsidRDefault="00622BCE">
      <w:pPr>
        <w:jc w:val="center"/>
        <w:rPr>
          <w:b/>
        </w:rPr>
      </w:pPr>
      <w:r>
        <w:rPr>
          <w:b/>
          <w:bCs/>
        </w:rPr>
        <w:t>TỜ TRÌNH</w:t>
      </w:r>
      <w:r>
        <w:br/>
      </w:r>
      <w:r>
        <w:rPr>
          <w:rFonts w:ascii="Times New Roman Bold" w:hAnsi="Times New Roman Bold"/>
          <w:b/>
          <w:bCs/>
        </w:rPr>
        <w:t xml:space="preserve"> Dự thảo </w:t>
      </w:r>
      <w:r>
        <w:rPr>
          <w:rFonts w:ascii="Times New Roman Bold" w:hAnsi="Times New Roman Bold"/>
          <w:b/>
          <w:bCs/>
          <w:lang w:val="nb-NO"/>
        </w:rPr>
        <w:t xml:space="preserve">Nghị quyết </w:t>
      </w:r>
      <w:bookmarkStart w:id="0" w:name="loai_1_name"/>
      <w:r>
        <w:rPr>
          <w:b/>
        </w:rPr>
        <w:t>quy định mức tối đa, mức tối thiểu của hệ số điều chỉnh mức biến động thị trường trên địa bàn tỉnh Hà Tĩnh</w:t>
      </w:r>
      <w:bookmarkEnd w:id="0"/>
    </w:p>
    <w:p w:rsidR="00CE18D1" w:rsidRDefault="00622BCE">
      <w:pPr>
        <w:shd w:val="clear" w:color="auto" w:fill="FFFFFF"/>
        <w:spacing w:before="100" w:after="100"/>
        <w:jc w:val="center"/>
        <w:rPr>
          <w:rFonts w:ascii="Times New Roman Bold" w:hAnsi="Times New Roman Bold"/>
          <w:b/>
          <w:bCs/>
          <w:lang w:val="vi-VN"/>
        </w:rPr>
      </w:pPr>
      <w:r>
        <w:rPr>
          <w:noProof/>
        </w:rPr>
        <mc:AlternateContent>
          <mc:Choice Requires="wps">
            <w:drawing>
              <wp:anchor distT="0" distB="0" distL="114300" distR="114300" simplePos="0" relativeHeight="251658240" behindDoc="0" locked="0" layoutInCell="1" allowOverlap="1">
                <wp:simplePos x="0" y="0"/>
                <wp:positionH relativeFrom="margin">
                  <wp:posOffset>1994535</wp:posOffset>
                </wp:positionH>
                <wp:positionV relativeFrom="paragraph">
                  <wp:posOffset>10795</wp:posOffset>
                </wp:positionV>
                <wp:extent cx="1689100" cy="0"/>
                <wp:effectExtent l="0" t="0" r="25400" b="19050"/>
                <wp:wrapNone/>
                <wp:docPr id="5" name="Straight Connector 5"/>
                <wp:cNvGraphicFramePr/>
                <a:graphic xmlns:a="http://schemas.openxmlformats.org/drawingml/2006/main">
                  <a:graphicData uri="http://schemas.microsoft.com/office/word/2010/wordprocessingShape">
                    <wps:wsp>
                      <wps:cNvCnPr/>
                      <wps:spPr>
                        <a:xfrm flipV="1">
                          <a:off x="0" y="0"/>
                          <a:ext cx="168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CCCDE7"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7.05pt,.85pt" to="290.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" strokecolor="black [3200]" strokeweight=".5pt">
                <v:stroke joinstyle="miter"/>
                <w10:wrap anchorx="margin"/>
              </v:line>
            </w:pict>
          </mc:Fallback>
        </mc:AlternateContent>
      </w:r>
    </w:p>
    <w:p w:rsidR="00CE18D1" w:rsidRDefault="00CE18D1">
      <w:pPr>
        <w:pStyle w:val="BodyTextIndent"/>
        <w:spacing w:before="100" w:after="100"/>
        <w:ind w:left="0"/>
        <w:jc w:val="both"/>
        <w:rPr>
          <w:rFonts w:ascii="Times New Roman" w:hAnsi="Times New Roman"/>
          <w:b/>
          <w:color w:val="EE0000"/>
          <w:position w:val="-2"/>
        </w:rPr>
      </w:pPr>
    </w:p>
    <w:p w:rsidR="00CE18D1" w:rsidRDefault="00622BCE">
      <w:pPr>
        <w:pStyle w:val="BodyTextIndent"/>
        <w:spacing w:before="100" w:after="100"/>
        <w:ind w:left="0"/>
        <w:jc w:val="center"/>
        <w:rPr>
          <w:rFonts w:ascii="Times New Roman" w:hAnsi="Times New Roman"/>
          <w:bCs/>
          <w:position w:val="-2"/>
          <w:lang w:val="vi-VN"/>
        </w:rPr>
      </w:pPr>
      <w:r>
        <w:rPr>
          <w:rFonts w:ascii="Times New Roman" w:hAnsi="Times New Roman"/>
          <w:bCs/>
          <w:position w:val="-2"/>
        </w:rPr>
        <w:t>Kính gửi: Hội đồng nhân dân tỉnh Hà Tĩnh</w:t>
      </w:r>
    </w:p>
    <w:p w:rsidR="00CE18D1" w:rsidRDefault="00CE18D1">
      <w:pPr>
        <w:spacing w:before="100" w:after="100"/>
        <w:jc w:val="both"/>
        <w:rPr>
          <w:lang w:val="vi-VN"/>
        </w:rPr>
      </w:pPr>
    </w:p>
    <w:p w:rsidR="00CE18D1" w:rsidRDefault="00622BCE">
      <w:pPr>
        <w:jc w:val="both"/>
        <w:rPr>
          <w:b/>
        </w:rPr>
      </w:pPr>
      <w:r>
        <w:rPr>
          <w:bCs/>
        </w:rPr>
        <w:tab/>
        <w:t xml:space="preserve">Thực hiện quy định của Luật Ban hành văn bản quy phạm pháp luật, </w:t>
      </w:r>
      <w:r>
        <w:t xml:space="preserve">căn cứ Nghị quyết số 254/2025/QH15 ngày 11/12/2025 của Quốc hội quy định một số cơ chế, chính sách tháo gỡ khó khăn, vướng mắc trong tổ chức thi hành luật đất đai; Nghị định số 49/2026/NĐ-CP ngày 31/01/2026 quy định chi tiết và hướng dẫn một số điều của Nghị quyết số 254/2025/QH15 của Quốc hội quy định một số cơ chế, chính sách tháo gỡ khó khăn, vướng mắc trong tổ chức thi hành luật đất đai, </w:t>
      </w:r>
      <w:r>
        <w:rPr>
          <w:bCs/>
        </w:rPr>
        <w:t xml:space="preserve">Ủy ban nhân dân tỉnh kính trình Hội đồng nhân dân tỉnh dự thảo Nghị quyết </w:t>
      </w:r>
      <w:r>
        <w:t>quy định mức tối đa, mức tối thiểu của hệ số điều chỉnh mức biến động thị trường trên địa bàn tỉnh Hà Tĩnh,</w:t>
      </w:r>
      <w:r>
        <w:rPr>
          <w:b/>
        </w:rPr>
        <w:t xml:space="preserve"> </w:t>
      </w:r>
      <w:r>
        <w:rPr>
          <w:bCs/>
        </w:rPr>
        <w:t>như sau:</w:t>
      </w:r>
    </w:p>
    <w:p w:rsidR="00CE18D1" w:rsidRDefault="00622BCE">
      <w:pPr>
        <w:spacing w:before="120"/>
        <w:ind w:firstLine="720"/>
        <w:jc w:val="both"/>
        <w:rPr>
          <w:b/>
          <w:lang w:eastAsia="vi-VN"/>
        </w:rPr>
      </w:pPr>
      <w:r>
        <w:rPr>
          <w:b/>
          <w:lang w:eastAsia="vi-VN"/>
        </w:rPr>
        <w:t>I. SỰ CẦN THIẾT BAN HÀNH NGHỊ QUYẾT</w:t>
      </w:r>
    </w:p>
    <w:p w:rsidR="00CE18D1" w:rsidRDefault="00622BCE">
      <w:pPr>
        <w:widowControl w:val="0"/>
        <w:spacing w:before="120"/>
        <w:ind w:firstLine="720"/>
        <w:jc w:val="both"/>
        <w:rPr>
          <w:b/>
          <w:iCs/>
        </w:rPr>
      </w:pPr>
      <w:r>
        <w:rPr>
          <w:b/>
          <w:iCs/>
        </w:rPr>
        <w:t>1. Cơ sở chính trị, pháp lý</w:t>
      </w:r>
    </w:p>
    <w:p w:rsidR="00CE18D1" w:rsidRDefault="00622BCE">
      <w:pPr>
        <w:shd w:val="clear" w:color="auto" w:fill="FFFFFF"/>
        <w:spacing w:before="120" w:line="252" w:lineRule="auto"/>
        <w:jc w:val="both"/>
        <w:rPr>
          <w:color w:val="000000"/>
          <w:lang w:val="pt-BR"/>
        </w:rPr>
      </w:pPr>
      <w:r>
        <w:rPr>
          <w:color w:val="000000"/>
          <w:lang w:val="pt-BR"/>
        </w:rPr>
        <w:tab/>
        <w:t xml:space="preserve">Căn cứ điểm a khoản 2 Điều 6 Nghị định số 49/2026/NĐ-CP ngày 31/01/2026 của Chính phủ quy định: </w:t>
      </w:r>
    </w:p>
    <w:p w:rsidR="00CE18D1" w:rsidRDefault="00622BCE">
      <w:pPr>
        <w:shd w:val="clear" w:color="auto" w:fill="FFFFFF"/>
        <w:spacing w:before="120" w:line="252" w:lineRule="auto"/>
        <w:jc w:val="both"/>
        <w:rPr>
          <w:i/>
          <w:color w:val="000000"/>
          <w:lang w:val="pt-BR"/>
        </w:rPr>
      </w:pPr>
      <w:r>
        <w:rPr>
          <w:color w:val="000000"/>
          <w:lang w:val="pt-BR"/>
        </w:rPr>
        <w:tab/>
        <w:t>"</w:t>
      </w:r>
      <w:r>
        <w:rPr>
          <w:i/>
          <w:color w:val="000000"/>
          <w:lang w:val="pt-BR"/>
        </w:rPr>
        <w:t xml:space="preserve">2. Các trường hợp sửa đổi bảng giá đất, bao gồm: </w:t>
      </w:r>
    </w:p>
    <w:p w:rsidR="00CE18D1" w:rsidRDefault="00622BCE">
      <w:pPr>
        <w:shd w:val="clear" w:color="auto" w:fill="FFFFFF"/>
        <w:spacing w:before="120" w:line="252" w:lineRule="auto"/>
        <w:jc w:val="both"/>
        <w:rPr>
          <w:i/>
          <w:color w:val="000000"/>
          <w:lang w:val="pt-BR"/>
        </w:rPr>
      </w:pPr>
      <w:r>
        <w:rPr>
          <w:i/>
          <w:color w:val="000000"/>
          <w:lang w:val="pt-BR"/>
        </w:rPr>
        <w:tab/>
        <w:t xml:space="preserve">a) Khi sửa đổi hệ số điều chỉnh mức biến động thị trường kèm theo Nghị định mà hệ số này cao hơn mức tối đa hoặc thấp hơn mức tối thiểu. </w:t>
      </w:r>
      <w:r>
        <w:rPr>
          <w:i/>
          <w:color w:val="000000"/>
          <w:u w:val="single"/>
          <w:lang w:val="pt-BR"/>
        </w:rPr>
        <w:t>Mức tối đa, mức tối thiểu của hệ số điều chỉnh mức biến động thị trường do Hội đồng nhân dân cấp tỉnh quyết định</w:t>
      </w:r>
      <w:r>
        <w:rPr>
          <w:i/>
          <w:color w:val="000000"/>
          <w:lang w:val="pt-BR"/>
        </w:rPr>
        <w:t>..."</w:t>
      </w:r>
    </w:p>
    <w:p w:rsidR="00CE18D1" w:rsidRDefault="00622BCE">
      <w:pPr>
        <w:shd w:val="clear" w:color="auto" w:fill="FFFFFF"/>
        <w:spacing w:before="120" w:line="252" w:lineRule="auto"/>
        <w:jc w:val="both"/>
        <w:rPr>
          <w:i/>
          <w:color w:val="000000"/>
          <w:lang w:val="pt-BR"/>
        </w:rPr>
      </w:pPr>
      <w:r>
        <w:tab/>
        <w:t>Tại khoản 1 Điều 8 Nghị định số 49/2026/NĐ-CP quy định: “</w:t>
      </w:r>
      <w:r>
        <w:rPr>
          <w:i/>
        </w:rPr>
        <w:t>1. Hệ số điều chỉnh giá đất bao gồm hệ số điều chỉnh mức biến động thị trường, hệ số điều chỉnh theo quy hoạch và hệ số điều chỉnh theo yếu tố khác ảnh hưởng đến giá đất. Hệ số điều chỉnh giá đất được phân chia thành các mức khác nhau.”</w:t>
      </w:r>
      <w:r>
        <w:t xml:space="preserve"> </w:t>
      </w:r>
    </w:p>
    <w:p w:rsidR="00CE18D1" w:rsidRDefault="00622BCE">
      <w:pPr>
        <w:shd w:val="clear" w:color="auto" w:fill="FFFFFF"/>
        <w:spacing w:before="120" w:line="252" w:lineRule="auto"/>
        <w:jc w:val="both"/>
      </w:pPr>
      <w:r>
        <w:rPr>
          <w:b/>
          <w:i/>
        </w:rPr>
        <w:tab/>
      </w:r>
      <w:r>
        <w:t>Căn cứ quy định tại điểm g khoản 2 Mục III Phụ lục ban hành kèm theo Nghị định số 49/2026/NĐ-CP ngày 31/01/2026 của Chính phủ quy định:</w:t>
      </w:r>
    </w:p>
    <w:p w:rsidR="00CE18D1" w:rsidRDefault="00622BCE">
      <w:pPr>
        <w:pStyle w:val="NormalWeb"/>
        <w:shd w:val="clear" w:color="auto" w:fill="FFFFFF"/>
        <w:spacing w:before="120" w:beforeAutospacing="0" w:after="0" w:afterAutospacing="0" w:line="252" w:lineRule="auto"/>
        <w:jc w:val="both"/>
        <w:rPr>
          <w:i/>
          <w:color w:val="000000"/>
          <w:spacing w:val="-4"/>
          <w:sz w:val="28"/>
          <w:szCs w:val="28"/>
        </w:rPr>
      </w:pPr>
      <w:r>
        <w:rPr>
          <w:spacing w:val="-4"/>
          <w:szCs w:val="28"/>
        </w:rPr>
        <w:tab/>
      </w:r>
      <w:r>
        <w:rPr>
          <w:i/>
          <w:spacing w:val="-4"/>
          <w:sz w:val="28"/>
          <w:szCs w:val="28"/>
        </w:rPr>
        <w:t>“</w:t>
      </w:r>
      <w:r>
        <w:rPr>
          <w:i/>
          <w:color w:val="000000"/>
          <w:spacing w:val="-4"/>
          <w:sz w:val="28"/>
          <w:szCs w:val="28"/>
          <w:lang w:val="vi-VN"/>
        </w:rPr>
        <w:t>g) Ủy ban nhân dân cấp tỉnh quyết định ban hành hệ số điều chỉnh giá đất, công bố công khai và chỉ đạo cập nhật vào cơ sở dữ liệu quốc gia về đất đai.</w:t>
      </w:r>
    </w:p>
    <w:p w:rsidR="00CE18D1" w:rsidRDefault="00622BCE">
      <w:pPr>
        <w:shd w:val="clear" w:color="auto" w:fill="FFFFFF"/>
        <w:spacing w:before="120" w:line="252" w:lineRule="auto"/>
        <w:jc w:val="both"/>
        <w:rPr>
          <w:i/>
          <w:color w:val="000000"/>
          <w:spacing w:val="-4"/>
        </w:rPr>
      </w:pPr>
      <w:r>
        <w:rPr>
          <w:i/>
          <w:color w:val="000000"/>
          <w:spacing w:val="-4"/>
          <w:lang w:val="vi-VN"/>
        </w:rPr>
        <w:lastRenderedPageBreak/>
        <w:tab/>
        <w:t>Trường hợp tại thời </w:t>
      </w:r>
      <w:r>
        <w:rPr>
          <w:i/>
          <w:color w:val="000000"/>
          <w:spacing w:val="-4"/>
        </w:rPr>
        <w:t>điểm</w:t>
      </w:r>
      <w:r>
        <w:rPr>
          <w:i/>
          <w:color w:val="000000"/>
          <w:spacing w:val="-4"/>
          <w:lang w:val="vi-VN"/>
        </w:rPr>
        <w:t> Ủy ban nhân dân cấp tỉnh quyết định sửa đổi hệ số điều chỉnh giá đất mà hệ số điều chỉnh mức biến động thị trường cao hơn mức tối đa hoặc thấp hơn mức tối thi</w:t>
      </w:r>
      <w:r>
        <w:rPr>
          <w:i/>
          <w:color w:val="000000"/>
          <w:spacing w:val="-4"/>
        </w:rPr>
        <w:t>ể</w:t>
      </w:r>
      <w:r>
        <w:rPr>
          <w:i/>
          <w:color w:val="000000"/>
          <w:spacing w:val="-4"/>
          <w:lang w:val="vi-VN"/>
        </w:rPr>
        <w:t>u, thì Ủy ban nhân dân cấp tỉnh quyết định sửa đổi, bổ sung hệ số điều chỉnh giá đất đồng thời trình Hội đồng nhân dân cấp tỉnh xem xét việc sửa đổi bảng giá đất. Sau khi Hội đồng nhân dân cấp tỉnh quyết định sửa đổi bảng giá đất, Ủy ban nhân dân cấp tỉnh phải rà soát để sửa đổi, bổ sung hệ số điều chỉnh giá đất cho phù hợp với bảng giá đất sửa đổi.</w:t>
      </w:r>
      <w:r>
        <w:rPr>
          <w:i/>
          <w:color w:val="000000"/>
          <w:spacing w:val="-4"/>
        </w:rPr>
        <w:t>”.</w:t>
      </w:r>
    </w:p>
    <w:p w:rsidR="00CE18D1" w:rsidRDefault="00622BCE">
      <w:pPr>
        <w:shd w:val="clear" w:color="auto" w:fill="FFFFFF"/>
        <w:spacing w:before="120" w:line="252" w:lineRule="auto"/>
        <w:jc w:val="both"/>
        <w:rPr>
          <w:i/>
        </w:rPr>
      </w:pPr>
      <w:r>
        <w:tab/>
        <w:t>Tại điểm a khoản 1 Điều 21 Luật Ban hành văn bản quy phạm pháp luật (được sửa đổi, bổ sung tại khoản 3 Điều 1 Luật sửa đổi, bổ sung một số điều Luật Ban hành văn bản quy phạm pháp luật) thì Hội đồng nhân dân cấp tỉnh ban hành Nghị quyết để quy định “</w:t>
      </w:r>
      <w:r>
        <w:rPr>
          <w:i/>
        </w:rPr>
        <w:t>Chi tiết điều, khoản, điểm và các nội dung khác được giao trong văn bản quy phạm pháp luật của cơ quan nhà nước cấp trên.”</w:t>
      </w:r>
    </w:p>
    <w:p w:rsidR="00CE18D1" w:rsidRDefault="00622BCE">
      <w:pPr>
        <w:jc w:val="both"/>
      </w:pPr>
      <w:r>
        <w:tab/>
        <w:t>Như vậy, Nghị định số 49/2026/NĐ-CP đã giao Hội đồng nhân dân cấp tỉnh quyết định mức tối đa, mức tối thiểu của hệ số điều chỉnh mức biến động thị trường. Trên cơ sở đó, Hội đồng nhân dân tỉnh có thẩm quyền ban hành Nghị quyết để quy định nội dung này theo quy định tại điểm a khoản 1 Điều 21 Luật Ban hành văn bản quy phạm pháp luật. Vì vậy, việc xây dựng và trình Hội đồng nhân dân tỉnh ban hành “</w:t>
      </w:r>
      <w:r>
        <w:rPr>
          <w:i/>
        </w:rPr>
        <w:t>Nghị quyết quy định mức tối đa, mức tối thiểu của hệ số điều chỉnh mức biến động thị trường trên địa bàn tỉnh Hà Tĩnh</w:t>
      </w:r>
      <w:r>
        <w:t>” là phù hợp thẩm quyền, đúng quy định của pháp luật.</w:t>
      </w:r>
    </w:p>
    <w:p w:rsidR="00CE18D1" w:rsidRDefault="00622BCE">
      <w:pPr>
        <w:jc w:val="both"/>
        <w:rPr>
          <w:b/>
        </w:rPr>
      </w:pPr>
      <w:r>
        <w:rPr>
          <w:b/>
          <w:color w:val="000000"/>
        </w:rPr>
        <w:tab/>
        <w:t xml:space="preserve">2. </w:t>
      </w:r>
      <w:r>
        <w:rPr>
          <w:b/>
        </w:rPr>
        <w:t>Cơ sở thực tiễn</w:t>
      </w:r>
    </w:p>
    <w:p w:rsidR="00CE18D1" w:rsidRDefault="00622BCE">
      <w:pPr>
        <w:jc w:val="both"/>
      </w:pPr>
      <w:r>
        <w:rPr>
          <w:b/>
        </w:rPr>
        <w:tab/>
      </w:r>
      <w:r>
        <w:t>Ngày 10/12/2025, Hội đồng nhân dân tỉnh Hà Tĩnh đã ban hành Nghị quyết số 176/2025/NQ-HĐND quy định Bảng giá đất lần đầu áp dụng từ ngày 01/01/2026 trên địa bàn tỉnh Hà Tĩnh. Bảng giá đất được xây dựng bảo đảm tuân thủ quy định của Luật Đất đai năm 2024 và các văn bản hướng dẫn thi hành; phù hợp với điều kiện tự nhiên, tình hình phát triển kinh tế - xã hội và thực tế quản lý, sử dụng đất tại địa phương, phục vụ công tác quản lý nhà nước về đất đai và giá đất trên địa bàn tỉnh.</w:t>
      </w:r>
    </w:p>
    <w:p w:rsidR="00CE18D1" w:rsidRPr="00663BA8" w:rsidRDefault="00622BCE">
      <w:pPr>
        <w:jc w:val="both"/>
        <w:rPr>
          <w:color w:val="FF0000"/>
        </w:rPr>
      </w:pPr>
      <w:r>
        <w:tab/>
        <w:t>Qua kết quả điều tra, khảo sát và tổng hợp số liệu phục vụ xây dựng Bảng giá đất năm 2026 cho thấy giá đất thị trường tại nhiều khu vực trên địa bàn tỉnh có biến động lớn so với bảng giá đất hiện hành. Đặc bi</w:t>
      </w:r>
      <w:r w:rsidR="00351AC6">
        <w:t>ệt tại các khu vực đô thị</w:t>
      </w:r>
      <w:r>
        <w:t>, khu vực ven biển, khu vực có lợi thế về hạ tầng và phát triển đô thị, giá đất</w:t>
      </w:r>
      <w:r w:rsidR="00351AC6">
        <w:t xml:space="preserve"> ở</w:t>
      </w:r>
      <w:r>
        <w:t xml:space="preserve"> chuyển nhượng thực</w:t>
      </w:r>
      <w:r w:rsidR="00BF27CC">
        <w:t xml:space="preserve"> tế phổ biến tăng từ 2,0</w:t>
      </w:r>
      <w:r w:rsidR="00351AC6">
        <w:t xml:space="preserve"> đến 3,0</w:t>
      </w:r>
      <w:r>
        <w:t xml:space="preserve"> lần so với giá đất trong bảng giá đất hiện hành; một số tuyến đường, khu vực có mức biến động trên 3,5 lần. </w:t>
      </w:r>
      <w:r w:rsidRPr="00663BA8">
        <w:rPr>
          <w:color w:val="FF0000"/>
        </w:rPr>
        <w:t>Kết quả khảo sát tại một số địa phương như phường Trần Phú, phường Sông Trí, phường Hải Ninh và một số khu vực khác cho thấy nhiều vị trí đất ở đô thị có mức biến động từ 250% đến trên 400% so với bảng giá đất hiện hành.</w:t>
      </w:r>
    </w:p>
    <w:p w:rsidR="00CE18D1" w:rsidRPr="001D0182" w:rsidRDefault="00622BCE">
      <w:pPr>
        <w:spacing w:before="120"/>
        <w:jc w:val="both"/>
      </w:pPr>
      <w:r>
        <w:tab/>
      </w:r>
      <w:r w:rsidRPr="001D0182">
        <w:t>Theo quy định pháp luật đất đai hiện hành, để bảo đảm thực hiện công tác quản lý nhà nước về giá đất theo đúng quy định của pháp luật, bảo đảm quyền và nghĩa vụ của người sử dụng đất, đồng thời hạn chế thất thu ngân sách nhà nước, hằng năm Ủy ban nhân dân tỉnh phải tổ chức thực hiện một trong các hình thức sau:</w:t>
      </w:r>
    </w:p>
    <w:p w:rsidR="00CE18D1" w:rsidRPr="001D0182" w:rsidRDefault="00622BCE">
      <w:pPr>
        <w:spacing w:before="120"/>
        <w:jc w:val="both"/>
      </w:pPr>
      <w:r w:rsidRPr="001D0182">
        <w:lastRenderedPageBreak/>
        <w:tab/>
        <w:t xml:space="preserve"> - Ủy ban nhân dân tỉnh tổ chức xây dựng, điều chỉnh, sửa đổi, bổ sung bảng giá đất trình Hội đồng nhân dân tỉnh thông qua theo quy định tại khoản 3 Điều 159 Luật Đất đai 2024; khoản 3 Điều 7 Nghị quyết 254/2025/QH15;</w:t>
      </w:r>
    </w:p>
    <w:p w:rsidR="00CE18D1" w:rsidRPr="001D0182" w:rsidRDefault="00622BCE">
      <w:pPr>
        <w:pStyle w:val="ListParagraph"/>
        <w:widowControl w:val="0"/>
        <w:spacing w:before="120"/>
        <w:ind w:left="0" w:right="-284"/>
        <w:jc w:val="both"/>
      </w:pPr>
      <w:r w:rsidRPr="001D0182">
        <w:tab/>
        <w:t xml:space="preserve">- Ủy ban nhân dân tỉnh ban hành, sửa đổi, bổ sung hệ số điều chỉnh giá đất theo quy định tại khoản 2 Điều 8 Nghị quyết 254/2025/QH15. </w:t>
      </w:r>
    </w:p>
    <w:p w:rsidR="00CE18D1" w:rsidRPr="001D0182" w:rsidRDefault="00622BCE">
      <w:pPr>
        <w:spacing w:before="120"/>
        <w:jc w:val="both"/>
      </w:pPr>
      <w:r w:rsidRPr="001D0182">
        <w:tab/>
      </w:r>
      <w:r w:rsidR="00351AC6">
        <w:t xml:space="preserve">Như vậy, trong khi hằng năm, </w:t>
      </w:r>
      <w:r w:rsidRPr="001D0182">
        <w:t>UBND tỉnh đã ban hành hệ số điều chỉnh giá đất áp dụng từ ngày 01 tháng 01 (hệ số điều chỉnh giá đất là tỷ lệ tăng, giảm giá đất của các loại đất tương ứng với khu vực, vị trí đã được quy định tại Nghị quyết số 176/2025/NQ-HĐND), hệ số này quy định tỷ lệ tăng, giảm của giá trong bảng giá đất theo biến động thị trường phù hợp với tình hình thực tế của từng năm, đồng thời vẫn đảm bảo làm căn cứ xác định nghĩa vụ tài chính, thuế và các khoản thu ngân sách từ đất đai</w:t>
      </w:r>
      <w:r w:rsidR="00351AC6">
        <w:t xml:space="preserve"> thì tiếp tục</w:t>
      </w:r>
      <w:r w:rsidR="00351AC6" w:rsidRPr="001D0182">
        <w:t xml:space="preserve"> sửa đổi giá</w:t>
      </w:r>
      <w:r w:rsidR="00351AC6">
        <w:t xml:space="preserve"> đất</w:t>
      </w:r>
      <w:r w:rsidR="00351AC6" w:rsidRPr="001D0182">
        <w:t xml:space="preserve"> trong Bảng g</w:t>
      </w:r>
      <w:r w:rsidR="00351AC6">
        <w:t xml:space="preserve">iá đất để áp dụng từ ngày 01/01 </w:t>
      </w:r>
      <w:r w:rsidR="00351AC6" w:rsidRPr="001D0182">
        <w:t>là không cần thiết, mất nhi</w:t>
      </w:r>
      <w:r w:rsidR="00351AC6">
        <w:t xml:space="preserve">ều thời gian, nguồn lực. </w:t>
      </w:r>
      <w:r w:rsidRPr="001D0182">
        <w:t xml:space="preserve">Để </w:t>
      </w:r>
      <w:r w:rsidRPr="001D0182">
        <w:rPr>
          <w:shd w:val="clear" w:color="auto" w:fill="FFFFFF"/>
        </w:rPr>
        <w:t>thực hiện đồng bộ, thống nhất các quy định,</w:t>
      </w:r>
      <w:r w:rsidRPr="001D0182">
        <w:t xml:space="preserve"> tránh trường hợp phải thường xuyên sửa đổi Bảng giá đất khi giá đất thị trường biến động nhỏ, trong thời gian ngắn, </w:t>
      </w:r>
      <w:r w:rsidRPr="001D0182">
        <w:rPr>
          <w:lang w:val="vi-VN"/>
        </w:rPr>
        <w:t>việc</w:t>
      </w:r>
      <w:r w:rsidRPr="001D0182">
        <w:t xml:space="preserve"> tham mưu Hội đồng nhân dân tỉnh quy định</w:t>
      </w:r>
      <w:r w:rsidRPr="001D0182">
        <w:rPr>
          <w:lang w:val="vi-VN"/>
        </w:rPr>
        <w:t xml:space="preserve"> </w:t>
      </w:r>
      <w:r w:rsidRPr="001D0182">
        <w:t>“</w:t>
      </w:r>
      <w:r w:rsidRPr="001D0182">
        <w:rPr>
          <w:i/>
          <w:lang w:val="vi-VN"/>
        </w:rPr>
        <w:t>mức tối đa, mức tối thiểu của hệ số điều chỉnh mức biến động thị trường</w:t>
      </w:r>
      <w:r w:rsidRPr="001D0182">
        <w:t>”</w:t>
      </w:r>
      <w:r w:rsidRPr="001D0182">
        <w:rPr>
          <w:lang w:val="vi-VN"/>
        </w:rPr>
        <w:t xml:space="preserve"> </w:t>
      </w:r>
      <w:r w:rsidR="00351AC6">
        <w:t xml:space="preserve">là cần thiết </w:t>
      </w:r>
      <w:r w:rsidRPr="001D0182">
        <w:t>nhằm tạo cơ sở pháp lý cho việc xác định hệ số điều chỉnh giá đất phù hợp với thực tiễn biến động của thị trường; đồng thời bảo đảm tính ổn định của bảng giá đất, hạn chế việc phải thường xuyên sửa đổi, bổ sung bảng giá đất khi thị trường có biến động.</w:t>
      </w:r>
    </w:p>
    <w:p w:rsidR="00CE18D1" w:rsidRDefault="00622BCE">
      <w:pPr>
        <w:jc w:val="both"/>
        <w:rPr>
          <w:b/>
          <w:bCs/>
        </w:rPr>
      </w:pPr>
      <w:r>
        <w:rPr>
          <w:lang w:val="vi-VN"/>
        </w:rPr>
        <w:tab/>
      </w:r>
      <w:r>
        <w:rPr>
          <w:b/>
          <w:bCs/>
          <w:lang w:val="vi-VN"/>
        </w:rPr>
        <w:t>II. MỤC ĐÍCH</w:t>
      </w:r>
      <w:r>
        <w:rPr>
          <w:b/>
          <w:bCs/>
        </w:rPr>
        <w:t xml:space="preserve"> BAN HÀNH</w:t>
      </w:r>
      <w:r>
        <w:rPr>
          <w:b/>
          <w:bCs/>
          <w:lang w:val="vi-VN"/>
        </w:rPr>
        <w:t xml:space="preserve">, QUAN ĐIỂM </w:t>
      </w:r>
      <w:r>
        <w:rPr>
          <w:b/>
          <w:bCs/>
        </w:rPr>
        <w:t>XÂY DỰNG DỰ THẢO NGHỊ QUYẾT</w:t>
      </w:r>
    </w:p>
    <w:p w:rsidR="00CE18D1" w:rsidRDefault="00622B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line="252" w:lineRule="auto"/>
        <w:ind w:firstLine="709"/>
        <w:contextualSpacing/>
        <w:jc w:val="both"/>
        <w:rPr>
          <w:b/>
          <w:bCs/>
          <w:lang w:val="vi-VN"/>
        </w:rPr>
      </w:pPr>
      <w:r>
        <w:rPr>
          <w:b/>
          <w:bCs/>
          <w:lang w:val="vi-VN"/>
        </w:rPr>
        <w:t>1. Mục đích ban hành văn bản</w:t>
      </w:r>
    </w:p>
    <w:p w:rsidR="00CE18D1" w:rsidRDefault="00622B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line="252" w:lineRule="auto"/>
        <w:ind w:firstLine="709"/>
        <w:contextualSpacing/>
        <w:jc w:val="both"/>
      </w:pPr>
      <w:r>
        <w:t xml:space="preserve">Cụ thể hóa </w:t>
      </w:r>
      <w:r>
        <w:rPr>
          <w:lang w:val="fr-FR" w:eastAsia="vi-VN"/>
        </w:rPr>
        <w:t xml:space="preserve">điều kiện làm căn cứ để sửa đổi, bổ sung Bảng giá đất hiện hành theo quy định tại khoản 2 Điều 6 Nghị định số 49/2026/NĐ-CP ngày 31/01/2026 của Chính phủ </w:t>
      </w:r>
      <w:r>
        <w:t>quy định chi tiết và hướng dẫn một số điều của Nghị quyết số 254/2025/QH15 của Quốc hội quy định một số cơ chế, chính sách tháo gỡ khó khăn, vướng mắc trong tổ chức thi hành luật đất đai.</w:t>
      </w:r>
    </w:p>
    <w:p w:rsidR="00CE18D1" w:rsidRDefault="00622B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line="252" w:lineRule="auto"/>
        <w:ind w:firstLine="709"/>
        <w:contextualSpacing/>
        <w:jc w:val="both"/>
        <w:rPr>
          <w:b/>
          <w:bCs/>
          <w:iCs/>
          <w:lang w:val="fr-FR"/>
        </w:rPr>
      </w:pPr>
      <w:r>
        <w:rPr>
          <w:b/>
          <w:bCs/>
          <w:iCs/>
          <w:lang w:val="fr-FR"/>
        </w:rPr>
        <w:t>2. Quan điểm xây dựng dự thảo Nghị quyết</w:t>
      </w:r>
    </w:p>
    <w:p w:rsidR="00CE18D1" w:rsidRDefault="00622B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line="252" w:lineRule="auto"/>
        <w:ind w:firstLine="709"/>
        <w:contextualSpacing/>
        <w:jc w:val="both"/>
      </w:pPr>
      <w:r>
        <w:t xml:space="preserve">-  Bảo đảm phù hợp với chủ trương, quy định của pháp luật đất đai và pháp luật về ban hành văn bản quy phạm pháp luật. </w:t>
      </w:r>
    </w:p>
    <w:p w:rsidR="00CE18D1" w:rsidRDefault="00622B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line="252" w:lineRule="auto"/>
        <w:ind w:firstLine="709"/>
        <w:contextualSpacing/>
        <w:jc w:val="both"/>
      </w:pPr>
      <w:r>
        <w:t xml:space="preserve">-  Bảo đảm phản ánh phù hợp mức biến động của giá đất phổ biến trên thị trường trong điều kiện bình thường. </w:t>
      </w:r>
    </w:p>
    <w:p w:rsidR="00CE18D1" w:rsidRDefault="00622B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line="252" w:lineRule="auto"/>
        <w:ind w:firstLine="709"/>
        <w:contextualSpacing/>
        <w:jc w:val="both"/>
      </w:pPr>
      <w:r>
        <w:t xml:space="preserve">-  Bảo đảm tính ổn định của bảng giá đất; hạn chế việc phải thường xuyên sửa đổi, bổ sung bảng giá đất nhưng vẫn đáp ứng yêu cầu quản lý nhà nước về giá đất. </w:t>
      </w:r>
    </w:p>
    <w:p w:rsidR="00CE18D1" w:rsidRDefault="00622B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line="252" w:lineRule="auto"/>
        <w:ind w:firstLine="709"/>
        <w:contextualSpacing/>
        <w:jc w:val="both"/>
      </w:pPr>
      <w:r>
        <w:t xml:space="preserve">-  Bảo đảm phù hợp với điều kiện thực tế, tình hình phát triển kinh tế - xã hội, biến động của thị trường quyền sử dụng đất trên địa bàn tỉnh. </w:t>
      </w:r>
    </w:p>
    <w:p w:rsidR="00CE18D1" w:rsidRDefault="00622B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line="252" w:lineRule="auto"/>
        <w:ind w:firstLine="709"/>
        <w:contextualSpacing/>
        <w:jc w:val="both"/>
      </w:pPr>
      <w:r>
        <w:t>-  Việc xác định mức tối đa, mức tối thiểu được thực hiện trên cơ sở kết quả điều tra, khảo sát giá đất thị trường, dữ liệu xây dựng bảng giá đất và nguyên tắc định giá đất theo quy định pháp luật.</w:t>
      </w:r>
    </w:p>
    <w:p w:rsidR="00CE18D1" w:rsidRDefault="00622B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line="252" w:lineRule="auto"/>
        <w:ind w:firstLine="709"/>
        <w:contextualSpacing/>
        <w:jc w:val="both"/>
        <w:rPr>
          <w:b/>
          <w:bCs/>
          <w:lang w:val="nl"/>
        </w:rPr>
      </w:pPr>
      <w:r>
        <w:rPr>
          <w:b/>
          <w:bCs/>
          <w:lang w:val="fr-FR"/>
        </w:rPr>
        <w:lastRenderedPageBreak/>
        <w:t>III</w:t>
      </w:r>
      <w:r>
        <w:rPr>
          <w:b/>
          <w:bCs/>
          <w:lang w:val="nl"/>
        </w:rPr>
        <w:t>. QUÁ TRÌNH XÂY DỰNG DỰ THẢO NGHỊ QUYẾT</w:t>
      </w:r>
    </w:p>
    <w:p w:rsidR="00CE18D1" w:rsidRDefault="00622B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line="252" w:lineRule="auto"/>
        <w:ind w:firstLine="709"/>
        <w:contextualSpacing/>
        <w:jc w:val="both"/>
        <w:rPr>
          <w:lang w:val="nl"/>
        </w:rPr>
      </w:pPr>
      <w:r>
        <w:rPr>
          <w:lang w:val="nl" w:eastAsia="zh-CN" w:bidi="ar"/>
        </w:rPr>
        <w:t>1.</w:t>
      </w:r>
      <w:r>
        <w:rPr>
          <w:b/>
          <w:lang w:val="nl" w:eastAsia="zh-CN" w:bidi="ar"/>
        </w:rPr>
        <w:t xml:space="preserve"> </w:t>
      </w:r>
      <w:r>
        <w:rPr>
          <w:lang w:val="nl" w:eastAsia="zh-CN" w:bidi="ar"/>
        </w:rPr>
        <w:t xml:space="preserve"> </w:t>
      </w:r>
      <w:r>
        <w:rPr>
          <w:lang w:val="nl"/>
        </w:rPr>
        <w:t xml:space="preserve">Trên cơ sở đề xuất của UBND tỉnh, Thường trực HĐND tỉnh đã có Tờ trình số 169/TTr-HĐND ngày 29/3/2026 về kế hoạch tổ chức các kỳ họp thường lệ năm 2026 của Hội đồng nhân dân tỉnh. Theo đó, tại Nghị quyết số 18/NQ-HĐND ngày 30/3/2026, Hội đồng nhân dân tỉnh thống nhất thông qua Nghị quyết </w:t>
      </w:r>
      <w:r>
        <w:t>quy định mức tối đa, mức tối thiểu của hệ số điều chỉnh mức biến động thị trường trên địa bàn tỉnh Hà Tĩnh tại Kỳ họp thường lệ giữa năm 2026</w:t>
      </w:r>
      <w:r>
        <w:rPr>
          <w:lang w:val="nl"/>
        </w:rPr>
        <w:t>.</w:t>
      </w:r>
    </w:p>
    <w:p w:rsidR="00CE18D1" w:rsidRDefault="00622B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line="252" w:lineRule="auto"/>
        <w:ind w:firstLine="709"/>
        <w:contextualSpacing/>
        <w:jc w:val="both"/>
      </w:pPr>
      <w:r>
        <w:rPr>
          <w:lang w:val="nl"/>
        </w:rPr>
        <w:t xml:space="preserve">2. Trên cơ sở đề xuất của Sở Nông nghiệp và Môi trường, UBND tỉnh đã có Tờ trình số 224/TTr-UBND ngày 24/4/2026 trình Thường trực Hội đồng nhân dân tỉnh chủ trương </w:t>
      </w:r>
      <w:r>
        <w:t>xây dựng Nghị quyết quy định mức tối đa, mức tối thiểu của hệ số điều chỉnh mức biến động thị trường trên địa bàn tỉnh Hà Tĩnh (đã được Thường trực Hội đồng nhân dân tỉnh đồng ý tại Văn bản số 266/HĐND-KTNS ngày 05/5/2026).</w:t>
      </w:r>
    </w:p>
    <w:p w:rsidR="00CE18D1" w:rsidRDefault="00622B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line="252" w:lineRule="auto"/>
        <w:ind w:firstLine="709"/>
        <w:contextualSpacing/>
        <w:jc w:val="both"/>
        <w:rPr>
          <w:shd w:val="clear" w:color="auto" w:fill="FFFFFF"/>
          <w:lang w:val="nl"/>
        </w:rPr>
      </w:pPr>
      <w:r>
        <w:rPr>
          <w:shd w:val="clear" w:color="auto" w:fill="FFFFFF"/>
          <w:lang w:val="nl" w:eastAsia="zh-CN" w:bidi="ar"/>
        </w:rPr>
        <w:t>3.</w:t>
      </w:r>
      <w:r>
        <w:rPr>
          <w:b/>
          <w:shd w:val="clear" w:color="auto" w:fill="FFFFFF"/>
          <w:lang w:val="nl" w:eastAsia="zh-CN" w:bidi="ar"/>
        </w:rPr>
        <w:t xml:space="preserve"> </w:t>
      </w:r>
      <w:r>
        <w:rPr>
          <w:shd w:val="clear" w:color="auto" w:fill="FFFFFF"/>
          <w:lang w:val="nl" w:eastAsia="zh-CN" w:bidi="ar"/>
        </w:rPr>
        <w:t>Trên cơ sở chỉ đạo của UBND tỉnh,</w:t>
      </w:r>
      <w:r>
        <w:rPr>
          <w:lang w:val="nl-NL"/>
        </w:rPr>
        <w:t xml:space="preserve"> Sở Nông nghiệp và Môi trường</w:t>
      </w:r>
      <w:r>
        <w:rPr>
          <w:lang w:val="vi-VN"/>
        </w:rPr>
        <w:t xml:space="preserve"> đã </w:t>
      </w:r>
      <w:r>
        <w:t>d</w:t>
      </w:r>
      <w:r>
        <w:rPr>
          <w:lang w:val="vi-VN"/>
        </w:rPr>
        <w:t xml:space="preserve">ự thảo </w:t>
      </w:r>
      <w:r>
        <w:rPr>
          <w:lang w:val="nl-NL"/>
        </w:rPr>
        <w:t xml:space="preserve">Tờ trình, </w:t>
      </w:r>
      <w:r>
        <w:rPr>
          <w:lang w:val="nl"/>
        </w:rPr>
        <w:t>dự thảo Nghị quyết đề nghị Trung tâm Công báo - Tin học tỉnh đăng tải lên Cổng thông tin điện tử tỉnh để các cơ quan, tổ chức, cá nhân có liên quan biết, tham gia đóng góp ý kiến; có các văn bản gửi xin ý kiến góp ý của Ủy ban Mặt trận Tổ quốc Việt Nam tỉnh và các tổ chức thành viên của Mặt trận; các sở, ngành, địa phương, đơn vị liên quan</w:t>
      </w:r>
      <w:r>
        <w:rPr>
          <w:shd w:val="clear" w:color="auto" w:fill="FFFFFF"/>
          <w:lang w:val="nl" w:eastAsia="zh-CN" w:bidi="ar"/>
        </w:rPr>
        <w:t xml:space="preserve"> để nghiên cứu cho ý kiến hồ sơ dự thảo Nghị quyết.</w:t>
      </w:r>
    </w:p>
    <w:p w:rsidR="00CE18D1" w:rsidRDefault="00622B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line="252" w:lineRule="auto"/>
        <w:ind w:firstLine="709"/>
        <w:contextualSpacing/>
        <w:jc w:val="both"/>
        <w:rPr>
          <w:highlight w:val="yellow"/>
          <w:shd w:val="clear" w:color="auto" w:fill="FFFFFF"/>
          <w:lang w:val="nl"/>
        </w:rPr>
      </w:pPr>
      <w:r>
        <w:rPr>
          <w:lang w:val="nl" w:eastAsia="zh-CN" w:bidi="ar"/>
        </w:rPr>
        <w:t xml:space="preserve">4. Sở Nông nghiệp và Môi trường đã tổng hợp, tiếp thu, giải trình ý kiến góp ý của các sở, ngành, địa phương, đơn vị có liên quan, hoàn thiện các dự thảo (có Bảng tổng hợp tiếp thu ý kiến kèm theo) và trình </w:t>
      </w:r>
      <w:r>
        <w:t>Sở Tư pháp</w:t>
      </w:r>
      <w:r>
        <w:rPr>
          <w:rFonts w:eastAsia="SimSun"/>
          <w:lang w:val="nl" w:eastAsia="zh-CN" w:bidi="ar"/>
        </w:rPr>
        <w:t xml:space="preserve"> thẩm định.</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567"/>
        <w:jc w:val="both"/>
      </w:pPr>
      <w:r>
        <w:t>5. Sở Tư pháp thẩm định tại Báo cáo thẩm định số …../BC-STP ngày ……/5/2026. Sở Nông nghiệp và Môi trường tiếp thu, giải trình, chỉnh lý, hoàn thiện Dự thảo trình UBND tỉnh.</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567"/>
        <w:jc w:val="both"/>
      </w:pPr>
      <w:r>
        <w:t>6. UBND tỉnh xem xét trình Hội đồng nhân dân tỉnh thông qua.</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567"/>
        <w:jc w:val="both"/>
        <w:rPr>
          <w:b/>
          <w:bCs/>
          <w:lang w:val="nl"/>
        </w:rPr>
      </w:pPr>
      <w:r>
        <w:rPr>
          <w:b/>
          <w:bCs/>
          <w:lang w:val="nl"/>
        </w:rPr>
        <w:t>IV. BỐ CỤC VÀ NỘI DUNG CƠ BẢN CỦA DỰ THẢO NGHỊ QUYẾT</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bCs/>
          <w:lang w:val="vi-VN"/>
        </w:rPr>
      </w:pPr>
      <w:r>
        <w:rPr>
          <w:b/>
          <w:bCs/>
        </w:rPr>
        <w:t xml:space="preserve">1. </w:t>
      </w:r>
      <w:r>
        <w:rPr>
          <w:b/>
          <w:bCs/>
          <w:lang w:val="vi-VN"/>
        </w:rPr>
        <w:t>Phạm vi điều chỉnh, đối tượng áp dụng</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bCs/>
          <w:lang w:val="vi-VN"/>
        </w:rPr>
      </w:pPr>
      <w:r>
        <w:t>a) Phạm vi điều chỉnh</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bCs/>
          <w:lang w:val="vi-VN"/>
        </w:rPr>
      </w:pPr>
      <w:r>
        <w:rPr>
          <w:lang w:val="pt-BR"/>
        </w:rPr>
        <w:t xml:space="preserve">Nghị quyết này quy định về mức tối đa, mức tối thiểu của hệ số điều chỉnh mức biến động thị trường theo quy định tại điểm a khoản 2 Điều 6 Nghị định số </w:t>
      </w:r>
      <w:r>
        <w:rPr>
          <w:rStyle w:val="fontstyle01"/>
          <w:lang w:val="nl-NL"/>
        </w:rPr>
        <w:t>49/2026/NĐ-CP ngày 31/01/2026 của Chính phủ</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bCs/>
          <w:lang w:val="vi-VN"/>
        </w:rPr>
      </w:pPr>
      <w:r>
        <w:t>b)</w:t>
      </w:r>
      <w:r>
        <w:rPr>
          <w:iCs/>
        </w:rPr>
        <w:t xml:space="preserve"> Đối tượng áp dụng</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bCs/>
          <w:lang w:val="vi-VN"/>
        </w:rPr>
      </w:pPr>
      <w:r>
        <w:rPr>
          <w:shd w:val="clear" w:color="auto" w:fill="FFFFFF"/>
        </w:rPr>
        <w:t xml:space="preserve">- </w:t>
      </w:r>
      <w:r>
        <w:rPr>
          <w:lang w:val="vi-VN"/>
        </w:rPr>
        <w:t>Ủy ban nhân dân các cấp, cơ quan thực hiện chức năng quản lý nhà nước về đất đai; cơ quan có chức năng xây dựng, sửa đổi, bổ sung, thẩm định, quyết định bảng giá đất, hệ số điều chỉnh giá đất</w:t>
      </w:r>
      <w:r>
        <w:t>.</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bCs/>
          <w:lang w:val="vi-VN"/>
        </w:rPr>
      </w:pPr>
      <w:r>
        <w:rPr>
          <w:shd w:val="clear" w:color="auto" w:fill="FFFFFF"/>
        </w:rPr>
        <w:t>- Người sử dụng đất, tổ chức, cá nhân khác có liên quan đến thực hiện quy định tại </w:t>
      </w:r>
      <w:bookmarkStart w:id="1" w:name="tc_1"/>
      <w:r>
        <w:rPr>
          <w:shd w:val="clear" w:color="auto" w:fill="FFFFFF"/>
        </w:rPr>
        <w:t>khoản 1 Điều này</w:t>
      </w:r>
      <w:bookmarkEnd w:id="1"/>
      <w:r>
        <w:rPr>
          <w:shd w:val="clear" w:color="auto" w:fill="FFFFFF"/>
        </w:rPr>
        <w:t>.</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bCs/>
          <w:lang w:val="vi-VN"/>
        </w:rPr>
      </w:pPr>
      <w:r>
        <w:rPr>
          <w:b/>
          <w:bCs/>
          <w:lang w:val="vi-VN"/>
        </w:rPr>
        <w:lastRenderedPageBreak/>
        <w:t xml:space="preserve">2. Bố cục của dự thảo </w:t>
      </w:r>
      <w:r>
        <w:rPr>
          <w:b/>
          <w:bCs/>
        </w:rPr>
        <w:t>Nghị quyết</w:t>
      </w:r>
      <w:r>
        <w:rPr>
          <w:b/>
          <w:bCs/>
          <w:lang w:val="vi-VN"/>
        </w:rPr>
        <w:t xml:space="preserve"> </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pPr>
      <w:r>
        <w:rPr>
          <w:bCs/>
          <w:iCs/>
          <w:lang w:val="vi-VN"/>
        </w:rPr>
        <w:t xml:space="preserve">Dự thảo </w:t>
      </w:r>
      <w:r>
        <w:rPr>
          <w:lang w:val="vi-VN"/>
        </w:rPr>
        <w:t xml:space="preserve">Nghị quyết, </w:t>
      </w:r>
      <w:r>
        <w:rPr>
          <w:bCs/>
          <w:iCs/>
          <w:lang w:val="vi-VN"/>
        </w:rPr>
        <w:t>gồm 0</w:t>
      </w:r>
      <w:r>
        <w:rPr>
          <w:bCs/>
          <w:iCs/>
        </w:rPr>
        <w:t>4</w:t>
      </w:r>
      <w:r>
        <w:rPr>
          <w:bCs/>
          <w:iCs/>
          <w:lang w:val="vi-VN"/>
        </w:rPr>
        <w:t xml:space="preserve"> Điều, được</w:t>
      </w:r>
      <w:r>
        <w:rPr>
          <w:bCs/>
          <w:iCs/>
        </w:rPr>
        <w:t xml:space="preserve"> xây dựng theo Mẫu số 17 Phụ lục III ban hành kèm theo </w:t>
      </w:r>
      <w:r>
        <w:t xml:space="preserve">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r>
        <w:rPr>
          <w:bCs/>
        </w:rPr>
        <w:t>gồm:</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pPr>
      <w:r>
        <w:rPr>
          <w:bCs/>
          <w:iCs/>
          <w:lang w:val="vi-VN"/>
        </w:rPr>
        <w:t xml:space="preserve">Điều 1. </w:t>
      </w:r>
      <w:r>
        <w:rPr>
          <w:bCs/>
        </w:rPr>
        <w:t>Phạm vi điều chỉnh và đối tượng áp dụng;</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pPr>
      <w:r>
        <w:rPr>
          <w:bCs/>
        </w:rPr>
        <w:t xml:space="preserve">Điều 2. </w:t>
      </w:r>
      <w:r>
        <w:t>Mức tối đa, mức tối thiểu của hệ số điều chỉnh mức biến động thị trường trên địa bàn tỉnh Hà Tĩnh;</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Cs/>
          <w:iCs/>
        </w:rPr>
      </w:pPr>
      <w:r>
        <w:rPr>
          <w:bCs/>
          <w:iCs/>
          <w:lang w:val="vi-VN"/>
        </w:rPr>
        <w:t xml:space="preserve">Điều 3. </w:t>
      </w:r>
      <w:r>
        <w:rPr>
          <w:bCs/>
          <w:iCs/>
        </w:rPr>
        <w:t>Tổ chức thực hiện</w:t>
      </w:r>
      <w:r>
        <w:rPr>
          <w:bCs/>
          <w:iCs/>
          <w:lang w:val="vi-VN"/>
        </w:rPr>
        <w:t>;</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Cs/>
          <w:iCs/>
        </w:rPr>
      </w:pPr>
      <w:r>
        <w:rPr>
          <w:bCs/>
          <w:iCs/>
          <w:lang w:val="vi-VN"/>
        </w:rPr>
        <w:t xml:space="preserve">Điều 4. </w:t>
      </w:r>
      <w:r>
        <w:rPr>
          <w:lang w:val="nl-NL"/>
        </w:rPr>
        <w:t>Hiệu lực thi hành</w:t>
      </w:r>
      <w:r>
        <w:rPr>
          <w:bCs/>
          <w:iCs/>
          <w:lang w:val="vi-VN"/>
        </w:rPr>
        <w:t>.</w:t>
      </w:r>
    </w:p>
    <w:p w:rsidR="00CE18D1" w:rsidRDefault="00622B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line="252" w:lineRule="auto"/>
        <w:ind w:firstLine="709"/>
        <w:contextualSpacing/>
        <w:jc w:val="both"/>
        <w:rPr>
          <w:b/>
          <w:bCs/>
          <w:iCs/>
        </w:rPr>
      </w:pPr>
      <w:r>
        <w:rPr>
          <w:b/>
          <w:bCs/>
          <w:iCs/>
          <w:lang w:val="vi-VN"/>
        </w:rPr>
        <w:t>3. Nội dung cơ bản của dự thảo Nghị quyết</w:t>
      </w:r>
      <w:r>
        <w:rPr>
          <w:b/>
          <w:bCs/>
          <w:iCs/>
        </w:rPr>
        <w:t xml:space="preserve">: </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pPr>
      <w:r>
        <w:rPr>
          <w:bCs/>
          <w:iCs/>
          <w:lang w:val="vi-VN"/>
        </w:rPr>
        <w:t xml:space="preserve">Dự thảo </w:t>
      </w:r>
      <w:r>
        <w:rPr>
          <w:lang w:val="vi-VN"/>
        </w:rPr>
        <w:t xml:space="preserve">Nghị quyết, </w:t>
      </w:r>
      <w:r w:rsidR="0039648D">
        <w:rPr>
          <w:bCs/>
          <w:iCs/>
          <w:lang w:val="vi-VN"/>
        </w:rPr>
        <w:t>gồm 4</w:t>
      </w:r>
      <w:r>
        <w:rPr>
          <w:bCs/>
          <w:iCs/>
          <w:lang w:val="vi-VN"/>
        </w:rPr>
        <w:t xml:space="preserve"> Điều, được</w:t>
      </w:r>
      <w:r>
        <w:rPr>
          <w:bCs/>
          <w:iCs/>
        </w:rPr>
        <w:t xml:space="preserve"> xây dựng theo Mẫu số 17 Phụ lục III ban hành kèm theo </w:t>
      </w:r>
      <w:r>
        <w:t xml:space="preserve">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r>
        <w:rPr>
          <w:bCs/>
        </w:rPr>
        <w:t>gồm:</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pPr>
      <w:r>
        <w:rPr>
          <w:bCs/>
          <w:iCs/>
          <w:lang w:val="vi-VN"/>
        </w:rPr>
        <w:t xml:space="preserve">Điều 1. </w:t>
      </w:r>
      <w:r>
        <w:rPr>
          <w:bCs/>
        </w:rPr>
        <w:t>Phạm vi điều chỉnh và đối tượng áp dụng;</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pPr>
      <w:r>
        <w:rPr>
          <w:bCs/>
        </w:rPr>
        <w:t xml:space="preserve">Điều 2. </w:t>
      </w:r>
      <w:r>
        <w:t>Mức tối đa, mức tối thiểu của hệ số điều chỉnh mức biến động thị trường trên địa bàn tỉnh Hà Tĩnh;</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Cs/>
          <w:iCs/>
        </w:rPr>
      </w:pPr>
      <w:r>
        <w:rPr>
          <w:bCs/>
          <w:iCs/>
          <w:lang w:val="vi-VN"/>
        </w:rPr>
        <w:t xml:space="preserve">Điều 3. </w:t>
      </w:r>
      <w:r>
        <w:rPr>
          <w:bCs/>
          <w:iCs/>
        </w:rPr>
        <w:t>Tổ chức thực hiện</w:t>
      </w:r>
      <w:r>
        <w:rPr>
          <w:bCs/>
          <w:iCs/>
          <w:lang w:val="vi-VN"/>
        </w:rPr>
        <w:t>;</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Cs/>
          <w:iCs/>
        </w:rPr>
      </w:pPr>
      <w:r>
        <w:rPr>
          <w:bCs/>
          <w:iCs/>
          <w:lang w:val="vi-VN"/>
        </w:rPr>
        <w:t xml:space="preserve">Điều 4. </w:t>
      </w:r>
      <w:r>
        <w:rPr>
          <w:lang w:val="nl-NL"/>
        </w:rPr>
        <w:t>Hiệu lực thi hành</w:t>
      </w:r>
      <w:r>
        <w:rPr>
          <w:bCs/>
          <w:iCs/>
          <w:lang w:val="vi-VN"/>
        </w:rPr>
        <w:t>.</w:t>
      </w:r>
    </w:p>
    <w:p w:rsidR="00CE18D1" w:rsidRPr="00663BA8" w:rsidRDefault="00622BCE">
      <w:pPr>
        <w:widowControl w:val="0"/>
        <w:pBdr>
          <w:top w:val="dotted" w:sz="4" w:space="0" w:color="FFFFFF"/>
          <w:left w:val="dotted" w:sz="4" w:space="0" w:color="FFFFFF"/>
          <w:bottom w:val="dotted" w:sz="4" w:space="22" w:color="FFFFFF"/>
          <w:right w:val="dotted" w:sz="4" w:space="0" w:color="FFFFFF"/>
        </w:pBdr>
        <w:shd w:val="clear" w:color="auto" w:fill="FFFFFF"/>
        <w:tabs>
          <w:tab w:val="left" w:pos="709"/>
        </w:tabs>
        <w:spacing w:before="120" w:line="252" w:lineRule="auto"/>
        <w:ind w:firstLine="709"/>
        <w:contextualSpacing/>
        <w:jc w:val="both"/>
        <w:rPr>
          <w:rStyle w:val="fontstyle01"/>
          <w:color w:val="000000" w:themeColor="text1"/>
          <w:lang w:val="nl-NL"/>
        </w:rPr>
      </w:pPr>
      <w:r>
        <w:rPr>
          <w:b/>
          <w:bCs/>
          <w:iCs/>
          <w:lang w:val="vi-VN"/>
        </w:rPr>
        <w:t>3. Nội dung cơ bản của dự thảo Nghị quyết</w:t>
      </w:r>
      <w:r>
        <w:rPr>
          <w:b/>
          <w:bCs/>
          <w:iCs/>
        </w:rPr>
        <w:t xml:space="preserve">: </w:t>
      </w:r>
      <w:bookmarkStart w:id="2" w:name="_GoBack"/>
      <w:r w:rsidRPr="00663BA8">
        <w:rPr>
          <w:color w:val="000000" w:themeColor="text1"/>
        </w:rPr>
        <w:t>Quy định mức tối đa, mức tối thiểu của hệ số điều chỉnh mức biến động thị trường trên địa bàn tỉnh Hà Tĩnh</w:t>
      </w:r>
      <w:r w:rsidRPr="00663BA8">
        <w:rPr>
          <w:rStyle w:val="fontstyle01"/>
          <w:color w:val="000000" w:themeColor="text1"/>
          <w:lang w:val="nl-NL"/>
        </w:rPr>
        <w:t xml:space="preserve"> </w:t>
      </w:r>
      <w:r w:rsidRPr="00663BA8">
        <w:rPr>
          <w:color w:val="000000" w:themeColor="text1"/>
        </w:rPr>
        <w:t xml:space="preserve">quy định tại điểm a khoản 2 Điều 6 </w:t>
      </w:r>
      <w:r w:rsidRPr="00663BA8">
        <w:rPr>
          <w:rStyle w:val="fontstyle01"/>
          <w:color w:val="000000" w:themeColor="text1"/>
          <w:lang w:val="nl-NL"/>
        </w:rPr>
        <w:t xml:space="preserve">Nghị định số 49/2026/NĐ-CP ngày 31/01/2026 của Chính phủ, cụ thể: </w:t>
      </w:r>
    </w:p>
    <w:p w:rsidR="00CE18D1" w:rsidRPr="00663BA8" w:rsidRDefault="00622BCE">
      <w:pPr>
        <w:pBdr>
          <w:top w:val="dotted" w:sz="4" w:space="0" w:color="FFFFFF"/>
          <w:left w:val="dotted" w:sz="4" w:space="0" w:color="FFFFFF"/>
          <w:bottom w:val="dotted" w:sz="4" w:space="22" w:color="FFFFFF"/>
          <w:right w:val="dotted" w:sz="4" w:space="0" w:color="FFFFFF"/>
        </w:pBdr>
        <w:shd w:val="clear" w:color="auto" w:fill="FFFFFF"/>
        <w:ind w:firstLine="720"/>
        <w:jc w:val="both"/>
        <w:rPr>
          <w:bCs/>
          <w:iCs/>
          <w:color w:val="000000" w:themeColor="text1"/>
        </w:rPr>
      </w:pPr>
      <w:r w:rsidRPr="00663BA8">
        <w:rPr>
          <w:color w:val="000000" w:themeColor="text1"/>
        </w:rPr>
        <w:t xml:space="preserve">- Quy định mức tối đa của hệ số điều chỉnh mức biến động thị trường: </w:t>
      </w:r>
      <w:r w:rsidR="00BF27CC" w:rsidRPr="00663BA8">
        <w:rPr>
          <w:rStyle w:val="Strong"/>
          <w:rFonts w:eastAsiaTheme="majorEastAsia"/>
          <w:color w:val="000000" w:themeColor="text1"/>
        </w:rPr>
        <w:t>K = 3,0</w:t>
      </w:r>
      <w:r w:rsidRPr="00663BA8">
        <w:rPr>
          <w:color w:val="000000" w:themeColor="text1"/>
        </w:rPr>
        <w:t xml:space="preserve">. </w:t>
      </w:r>
    </w:p>
    <w:p w:rsidR="00CE18D1" w:rsidRPr="00663BA8" w:rsidRDefault="00622BCE">
      <w:pPr>
        <w:pBdr>
          <w:top w:val="dotted" w:sz="4" w:space="0" w:color="FFFFFF"/>
          <w:left w:val="dotted" w:sz="4" w:space="0" w:color="FFFFFF"/>
          <w:bottom w:val="dotted" w:sz="4" w:space="22" w:color="FFFFFF"/>
          <w:right w:val="dotted" w:sz="4" w:space="0" w:color="FFFFFF"/>
        </w:pBdr>
        <w:shd w:val="clear" w:color="auto" w:fill="FFFFFF"/>
        <w:ind w:firstLine="720"/>
        <w:jc w:val="both"/>
        <w:rPr>
          <w:bCs/>
          <w:iCs/>
          <w:color w:val="000000" w:themeColor="text1"/>
        </w:rPr>
      </w:pPr>
      <w:r w:rsidRPr="00663BA8">
        <w:rPr>
          <w:color w:val="000000" w:themeColor="text1"/>
        </w:rPr>
        <w:t xml:space="preserve">- Quy định mức tối thiểu của hệ số điều chỉnh mức biến động thị trường: </w:t>
      </w:r>
      <w:r w:rsidRPr="00663BA8">
        <w:rPr>
          <w:rStyle w:val="Strong"/>
          <w:rFonts w:eastAsiaTheme="majorEastAsia"/>
          <w:color w:val="000000" w:themeColor="text1"/>
        </w:rPr>
        <w:t>K = 0,8</w:t>
      </w:r>
      <w:r w:rsidRPr="00663BA8">
        <w:rPr>
          <w:color w:val="000000" w:themeColor="text1"/>
        </w:rPr>
        <w:t xml:space="preserve">. </w:t>
      </w:r>
    </w:p>
    <w:p w:rsidR="00CE18D1" w:rsidRPr="00663BA8" w:rsidRDefault="00622BCE">
      <w:pPr>
        <w:pBdr>
          <w:top w:val="dotted" w:sz="4" w:space="0" w:color="FFFFFF"/>
          <w:left w:val="dotted" w:sz="4" w:space="0" w:color="FFFFFF"/>
          <w:bottom w:val="dotted" w:sz="4" w:space="22" w:color="FFFFFF"/>
          <w:right w:val="dotted" w:sz="4" w:space="0" w:color="FFFFFF"/>
        </w:pBdr>
        <w:shd w:val="clear" w:color="auto" w:fill="FFFFFF"/>
        <w:ind w:firstLine="720"/>
        <w:jc w:val="both"/>
        <w:rPr>
          <w:color w:val="000000" w:themeColor="text1"/>
        </w:rPr>
      </w:pPr>
      <w:r w:rsidRPr="00663BA8">
        <w:rPr>
          <w:color w:val="000000" w:themeColor="text1"/>
        </w:rPr>
        <w:t xml:space="preserve">- Áp dụng đối với tất cả các loại đất theo Nghị quyết số 176/2025/NQ-HĐND ngày 10/12/2025 của HĐND tỉnh. </w:t>
      </w:r>
    </w:p>
    <w:p w:rsidR="00A6605F" w:rsidRPr="00663BA8" w:rsidRDefault="00A6605F" w:rsidP="00A6605F">
      <w:pPr>
        <w:pBdr>
          <w:top w:val="dotted" w:sz="4" w:space="0" w:color="FFFFFF"/>
          <w:left w:val="dotted" w:sz="4" w:space="0" w:color="FFFFFF"/>
          <w:bottom w:val="dotted" w:sz="4" w:space="22" w:color="FFFFFF"/>
          <w:right w:val="dotted" w:sz="4" w:space="0" w:color="FFFFFF"/>
        </w:pBdr>
        <w:shd w:val="clear" w:color="auto" w:fill="FFFFFF"/>
        <w:ind w:firstLine="720"/>
        <w:jc w:val="both"/>
        <w:rPr>
          <w:color w:val="000000" w:themeColor="text1"/>
        </w:rPr>
      </w:pPr>
      <w:r w:rsidRPr="00663BA8">
        <w:rPr>
          <w:color w:val="000000" w:themeColor="text1"/>
        </w:rPr>
        <w:t xml:space="preserve">Cơ sở đề xuất: </w:t>
      </w:r>
      <w:r w:rsidR="00622BCE" w:rsidRPr="00663BA8">
        <w:rPr>
          <w:color w:val="000000" w:themeColor="text1"/>
        </w:rPr>
        <w:t>Qua kết quả điều tra, khảo sát thị trường của Trung tâm Kỹ thuật địa chính và Điều tra nông nghiệp</w:t>
      </w:r>
      <w:r w:rsidR="00622BCE" w:rsidRPr="00663BA8">
        <w:rPr>
          <w:rStyle w:val="FootnoteReference"/>
          <w:color w:val="000000" w:themeColor="text1"/>
        </w:rPr>
        <w:footnoteReference w:id="1"/>
      </w:r>
      <w:r w:rsidR="00622BCE" w:rsidRPr="00663BA8">
        <w:rPr>
          <w:color w:val="000000" w:themeColor="text1"/>
        </w:rPr>
        <w:t xml:space="preserve">, trong quá trình xây dựng bảng giá đất năm 2026 (đã được Hội đồng nhân dân tỉnh quy định tại Nghị quyết số </w:t>
      </w:r>
      <w:r w:rsidR="00622BCE" w:rsidRPr="00663BA8">
        <w:rPr>
          <w:color w:val="000000" w:themeColor="text1"/>
        </w:rPr>
        <w:lastRenderedPageBreak/>
        <w:t>176/2025/NQ-HĐND ngày 10/12/2025), giá đất ở tại nhiều tuyến đường, khu vực trên đ</w:t>
      </w:r>
      <w:r w:rsidRPr="00663BA8">
        <w:rPr>
          <w:color w:val="000000" w:themeColor="text1"/>
        </w:rPr>
        <w:t>ịa bàn tỉnh phổ biến tăng từ 2,0 đến 3,0</w:t>
      </w:r>
      <w:r w:rsidR="00622BCE" w:rsidRPr="00663BA8">
        <w:rPr>
          <w:color w:val="000000" w:themeColor="text1"/>
        </w:rPr>
        <w:t xml:space="preserve"> lần. </w:t>
      </w:r>
      <w:r w:rsidRPr="00663BA8">
        <w:rPr>
          <w:color w:val="000000" w:themeColor="text1"/>
        </w:rPr>
        <w:t>Theo kết quả điều tra, khảo sát  mức biến động giá đất thị trường chỉ tập trung đối với nhóm đất ở, còn đối với các loại đất khác hầu như không có hoặc rất ít giao dịch chuyển nhượng do vậy không có số liệu thể hiện rõ mức biến động. Thời gian qua, việc xác định giá đất, mức biến động của các loại đất khác được xác định trên cơ sở tương quan với giá đất ở và các phương pháp định giá đất hiện hành.</w:t>
      </w:r>
    </w:p>
    <w:p w:rsidR="00A6605F" w:rsidRPr="00663BA8" w:rsidRDefault="00622BCE" w:rsidP="00A6605F">
      <w:pPr>
        <w:pBdr>
          <w:top w:val="dotted" w:sz="4" w:space="0" w:color="FFFFFF"/>
          <w:left w:val="dotted" w:sz="4" w:space="0" w:color="FFFFFF"/>
          <w:bottom w:val="dotted" w:sz="4" w:space="22" w:color="FFFFFF"/>
          <w:right w:val="dotted" w:sz="4" w:space="0" w:color="FFFFFF"/>
        </w:pBdr>
        <w:shd w:val="clear" w:color="auto" w:fill="FFFFFF"/>
        <w:ind w:firstLine="720"/>
        <w:jc w:val="both"/>
        <w:rPr>
          <w:bCs/>
          <w:color w:val="000000" w:themeColor="text1"/>
        </w:rPr>
      </w:pPr>
      <w:r w:rsidRPr="00663BA8">
        <w:rPr>
          <w:color w:val="000000" w:themeColor="text1"/>
        </w:rPr>
        <w:t>Trên cơ sở kết quả điều tra, khảo sát thực tế mức biến động giá đất trên địa bàn tỉnh; kế thừa nguyên tắc điều chỉnh bảng giá đất theo quy định pháp luật đất đai trước đây</w:t>
      </w:r>
      <w:r w:rsidR="001D0182" w:rsidRPr="00663BA8">
        <w:rPr>
          <w:color w:val="000000" w:themeColor="text1"/>
        </w:rPr>
        <w:t xml:space="preserve">, </w:t>
      </w:r>
      <w:r w:rsidR="00DB6CF1" w:rsidRPr="00663BA8">
        <w:rPr>
          <w:color w:val="000000" w:themeColor="text1"/>
        </w:rPr>
        <w:t xml:space="preserve">trong khi </w:t>
      </w:r>
      <w:r w:rsidR="001D0182" w:rsidRPr="00663BA8">
        <w:rPr>
          <w:color w:val="000000" w:themeColor="text1"/>
        </w:rPr>
        <w:t>hằng năm UBND tỉnh đã ban hành hệ số điều chỉnh giá đất áp dụng từ ngày 01 tháng 01 (hệ số điều chỉnh giá đất là tỷ lệ tăng, giảm giá đất của các loại đất tương ứng với khu vực, vị trí đã được quy định tại Nghị quyết số 176/2025/NQ-HĐND)</w:t>
      </w:r>
      <w:r w:rsidR="00A6605F" w:rsidRPr="00663BA8">
        <w:rPr>
          <w:color w:val="000000" w:themeColor="text1"/>
        </w:rPr>
        <w:t xml:space="preserve">, </w:t>
      </w:r>
      <w:r w:rsidR="001D0182" w:rsidRPr="00663BA8">
        <w:rPr>
          <w:color w:val="000000" w:themeColor="text1"/>
        </w:rPr>
        <w:t xml:space="preserve">tránh trường hợp phải thường xuyên sửa đổi Bảng giá đất khi giá đất thị trường biến động nhỏ, trong thời gian ngắn </w:t>
      </w:r>
      <w:r w:rsidRPr="00663BA8">
        <w:rPr>
          <w:color w:val="000000" w:themeColor="text1"/>
        </w:rPr>
        <w:t>nhằm bảo đảm tính ổn định, liên tục trong công tác quản lý nhà nước về giá đất,</w:t>
      </w:r>
      <w:r w:rsidR="001D0182" w:rsidRPr="00663BA8">
        <w:rPr>
          <w:color w:val="000000" w:themeColor="text1"/>
        </w:rPr>
        <w:t xml:space="preserve"> </w:t>
      </w:r>
      <w:r w:rsidRPr="00663BA8">
        <w:rPr>
          <w:color w:val="000000" w:themeColor="text1"/>
        </w:rPr>
        <w:t xml:space="preserve">Ủy ban nhân dân tỉnh đề xuất quy định mức tối thiểu của hệ số điều chỉnh mức biến động thị trường là </w:t>
      </w:r>
      <w:r w:rsidR="00A6605F" w:rsidRPr="00663BA8">
        <w:rPr>
          <w:color w:val="000000" w:themeColor="text1"/>
        </w:rPr>
        <w:t>K = 0,8 và mức tối đa là K = 3,0</w:t>
      </w:r>
      <w:r w:rsidRPr="00663BA8">
        <w:rPr>
          <w:color w:val="000000" w:themeColor="text1"/>
        </w:rPr>
        <w:t xml:space="preserve"> để phù hợp với điều kiện thực tế và tình hình phát triển thị trường quyền sử dụng đất trên địa bàn tỉnh Hà Tĩnh.  </w:t>
      </w:r>
    </w:p>
    <w:p w:rsidR="00CE18D1" w:rsidRPr="00663BA8" w:rsidRDefault="00A6605F" w:rsidP="00A6605F">
      <w:pPr>
        <w:pBdr>
          <w:top w:val="dotted" w:sz="4" w:space="0" w:color="FFFFFF"/>
          <w:left w:val="dotted" w:sz="4" w:space="0" w:color="FFFFFF"/>
          <w:bottom w:val="dotted" w:sz="4" w:space="22" w:color="FFFFFF"/>
          <w:right w:val="dotted" w:sz="4" w:space="0" w:color="FFFFFF"/>
        </w:pBdr>
        <w:shd w:val="clear" w:color="auto" w:fill="FFFFFF"/>
        <w:ind w:firstLine="720"/>
        <w:jc w:val="both"/>
        <w:rPr>
          <w:bCs/>
          <w:color w:val="000000" w:themeColor="text1"/>
        </w:rPr>
      </w:pPr>
      <w:r w:rsidRPr="00663BA8">
        <w:rPr>
          <w:color w:val="000000" w:themeColor="text1"/>
        </w:rPr>
        <w:t>V</w:t>
      </w:r>
      <w:r w:rsidR="00622BCE" w:rsidRPr="00663BA8">
        <w:rPr>
          <w:color w:val="000000" w:themeColor="text1"/>
        </w:rPr>
        <w:t>iệc áp dụng thống nhất đối với các loại đất thuộc Bảng giá đất của tỉnh nhằm bảo đảm tính đồng bộ trong quá trình tổ chức thực hiện, tạo thuận lợi cho việc xác định hệ số điều chỉnh giá đất và triển khai các nhiệm vụ quản lý nhà nước về đất đai, tài c</w:t>
      </w:r>
      <w:r w:rsidRPr="00663BA8">
        <w:rPr>
          <w:color w:val="000000" w:themeColor="text1"/>
        </w:rPr>
        <w:t>hính đất đai trên địa bàn tỉnh.</w:t>
      </w:r>
      <w:r w:rsidR="00622BCE" w:rsidRPr="00663BA8">
        <w:rPr>
          <w:color w:val="000000" w:themeColor="text1"/>
        </w:rPr>
        <w:t xml:space="preserve"> Vì vậy, việc quy định thống nhất mức tối đa, mức tối thiểu của hệ số điều chỉnh mức biến động thị trường đối với các loại đất là phù hợp với thực tiễn quản lý, bảo đảm tính khả thi, thống nhất trong tổ chức thực hiện và phù hợp với điều kiện dữ liệu khảo sát hiện có trên địa bàn tỉnh.</w:t>
      </w:r>
    </w:p>
    <w:bookmarkEnd w:id="2"/>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bCs/>
          <w:lang w:val="nl-NL"/>
        </w:rPr>
      </w:pPr>
      <w:r>
        <w:rPr>
          <w:b/>
          <w:bCs/>
          <w:lang w:val="nl-NL"/>
        </w:rPr>
        <w:t xml:space="preserve">V. NHỮNG NỘI DUNG BỔ SUNG MỚI SO VỚI DỰ THẢO VĂN BẢN GỬI THẨM ĐỊNH (NẾU CÓ): </w:t>
      </w:r>
      <w:r>
        <w:rPr>
          <w:bCs/>
          <w:lang w:val="nl-NL"/>
        </w:rPr>
        <w:t>Không có nội dung bổ sung mới.</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spacing w:val="-2"/>
          <w:position w:val="-6"/>
          <w:lang w:val="vi-VN"/>
        </w:rPr>
      </w:pPr>
      <w:r>
        <w:rPr>
          <w:b/>
          <w:spacing w:val="-2"/>
          <w:position w:val="-6"/>
          <w:lang w:val="vi-VN"/>
        </w:rPr>
        <w:t>V</w:t>
      </w:r>
      <w:r>
        <w:rPr>
          <w:b/>
          <w:spacing w:val="-2"/>
          <w:position w:val="-6"/>
        </w:rPr>
        <w:t>I</w:t>
      </w:r>
      <w:r>
        <w:rPr>
          <w:b/>
          <w:spacing w:val="-2"/>
          <w:position w:val="-6"/>
          <w:lang w:val="vi-VN"/>
        </w:rPr>
        <w:t xml:space="preserve">. DỰ KIẾN NGUỒN LỰC, ĐIỀU KIỆN ĐẢM BẢO CHO VIỆC THI HÀNH </w:t>
      </w:r>
      <w:r>
        <w:rPr>
          <w:b/>
          <w:spacing w:val="-2"/>
          <w:position w:val="-6"/>
        </w:rPr>
        <w:t>NGHỊ QUYẾT</w:t>
      </w:r>
      <w:r>
        <w:rPr>
          <w:b/>
          <w:spacing w:val="-2"/>
          <w:position w:val="-6"/>
          <w:lang w:val="vi-VN"/>
        </w:rPr>
        <w:t xml:space="preserve"> VÀ THỜI GIAN TRÌNH THÔNG QUA</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spacing w:val="-2"/>
          <w:position w:val="-6"/>
        </w:rPr>
      </w:pPr>
      <w:r>
        <w:rPr>
          <w:b/>
          <w:spacing w:val="-2"/>
          <w:position w:val="-6"/>
        </w:rPr>
        <w:t>1.</w:t>
      </w:r>
      <w:r>
        <w:rPr>
          <w:b/>
          <w:spacing w:val="-2"/>
          <w:position w:val="-6"/>
          <w:lang w:val="vi-VN"/>
        </w:rPr>
        <w:t xml:space="preserve"> </w:t>
      </w:r>
      <w:r>
        <w:rPr>
          <w:b/>
          <w:spacing w:val="-2"/>
          <w:position w:val="-6"/>
        </w:rPr>
        <w:t>Dự kiến nguồn lực, điều kiện đảm bảo cho việc thi hành Nghị quyết</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spacing w:val="-2"/>
          <w:position w:val="-6"/>
        </w:rPr>
      </w:pPr>
      <w:r>
        <w:rPr>
          <w:spacing w:val="-2"/>
          <w:position w:val="-6"/>
        </w:rPr>
        <w:t xml:space="preserve">Nghị quyết ban hành không phát sinh kinh phí tổ chức thực hiện. </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spacing w:val="-2"/>
          <w:position w:val="-6"/>
        </w:rPr>
      </w:pPr>
      <w:r>
        <w:rPr>
          <w:spacing w:val="-2"/>
          <w:position w:val="-6"/>
          <w:lang w:val="vi-VN"/>
        </w:rPr>
        <w:t>UBND tỉnh</w:t>
      </w:r>
      <w:r>
        <w:rPr>
          <w:spacing w:val="-2"/>
          <w:position w:val="-6"/>
        </w:rPr>
        <w:t xml:space="preserve"> chỉ đạo việc thực hiện Nghị quyết theo quy định; Các cơ quan liên quan, trong phạm vi chức năng, nhiệm vụ thực hiện công tác kiểm tra, giám sát việc triển khai thực hiện Nghị quyết.  </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spacing w:val="-2"/>
          <w:position w:val="-6"/>
        </w:rPr>
      </w:pPr>
      <w:r>
        <w:rPr>
          <w:b/>
          <w:spacing w:val="-2"/>
          <w:position w:val="-6"/>
        </w:rPr>
        <w:t>2.</w:t>
      </w:r>
      <w:r>
        <w:rPr>
          <w:b/>
          <w:spacing w:val="-2"/>
          <w:position w:val="-6"/>
          <w:lang w:val="vi-VN"/>
        </w:rPr>
        <w:t xml:space="preserve"> Thời gian trình thông qua</w:t>
      </w:r>
      <w:r>
        <w:rPr>
          <w:b/>
          <w:spacing w:val="-2"/>
          <w:position w:val="-6"/>
        </w:rPr>
        <w:t xml:space="preserve"> Nghị quyết </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spacing w:val="-2"/>
          <w:position w:val="-6"/>
        </w:rPr>
      </w:pPr>
      <w:r>
        <w:rPr>
          <w:spacing w:val="-2"/>
          <w:position w:val="-6"/>
        </w:rPr>
        <w:t>Thông qua Nghị quyết tại Kỳ họp thường lệ giữa năm 2026.</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pPr>
      <w:r>
        <w:t xml:space="preserve">Trên đây là Tờ trình về dự thảo </w:t>
      </w:r>
      <w:r>
        <w:rPr>
          <w:lang w:val="nl"/>
        </w:rPr>
        <w:t xml:space="preserve">Nghị quyết </w:t>
      </w:r>
      <w:r>
        <w:t>quy định mức tối đa, mức tối thiểu của hệ số điều chỉnh mức biến động thị trường trên địa bàn tỉnh Hà Tĩnh, Ủy ban nhân dân tỉnh kính trình Hội đồng nhân dân tỉnh xem xét quyết định./.</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i/>
          <w:iCs/>
          <w:lang w:val="vi-VN"/>
        </w:rPr>
      </w:pPr>
      <w:r>
        <w:rPr>
          <w:i/>
          <w:iCs/>
          <w:lang w:val="vi-VN"/>
        </w:rPr>
        <w:lastRenderedPageBreak/>
        <w:t xml:space="preserve">(Hồ sơ xin gửi kèm: </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pPr>
      <w:r>
        <w:rPr>
          <w:i/>
          <w:iCs/>
          <w:spacing w:val="-4"/>
          <w:lang w:val="nl-NL"/>
        </w:rPr>
        <w:t xml:space="preserve"> 1. </w:t>
      </w:r>
      <w:r>
        <w:rPr>
          <w:i/>
          <w:iCs/>
          <w:spacing w:val="-4"/>
          <w:lang w:val="sv-SE"/>
        </w:rPr>
        <w:t xml:space="preserve">Dự thảo </w:t>
      </w:r>
      <w:r>
        <w:rPr>
          <w:i/>
          <w:lang w:val="vi-VN"/>
        </w:rPr>
        <w:t xml:space="preserve">Nghị quyết </w:t>
      </w:r>
      <w:r>
        <w:rPr>
          <w:i/>
        </w:rPr>
        <w:t>quy định mức tối đa, mức tối thiểu của hệ số điều chỉnh mức biến động thị trường trên địa bàn tỉnh Hà Tĩnh</w:t>
      </w:r>
      <w:r>
        <w:rPr>
          <w:i/>
          <w:iCs/>
          <w:lang w:val="vi-VN"/>
        </w:rPr>
        <w:t>;</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i/>
        </w:rPr>
      </w:pPr>
      <w:r>
        <w:rPr>
          <w:i/>
          <w:iCs/>
          <w:spacing w:val="-4"/>
          <w:lang w:val="sv-SE"/>
        </w:rPr>
        <w:t xml:space="preserve">2. </w:t>
      </w:r>
      <w:r>
        <w:rPr>
          <w:i/>
          <w:iCs/>
        </w:rPr>
        <w:t>Báo cáo thẩm định số ……/BC-STP ngày …../5/2026 của</w:t>
      </w:r>
      <w:r>
        <w:rPr>
          <w:i/>
        </w:rPr>
        <w:t xml:space="preserve"> </w:t>
      </w:r>
      <w:r>
        <w:rPr>
          <w:i/>
          <w:iCs/>
        </w:rPr>
        <w:t>Sở Tư pháp</w:t>
      </w:r>
      <w:r>
        <w:rPr>
          <w:i/>
          <w:iCs/>
          <w:spacing w:val="-4"/>
          <w:lang w:val="sv-SE"/>
        </w:rPr>
        <w:t>;</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i/>
          <w:iCs/>
          <w:spacing w:val="-8"/>
        </w:rPr>
      </w:pPr>
      <w:r>
        <w:rPr>
          <w:i/>
          <w:iCs/>
          <w:spacing w:val="-8"/>
          <w:lang w:val="sv-SE"/>
        </w:rPr>
        <w:t xml:space="preserve">3. Tờ trình của Sở Nông nghiệp và Môi trường kèm </w:t>
      </w:r>
      <w:r>
        <w:rPr>
          <w:i/>
          <w:iCs/>
          <w:spacing w:val="-8"/>
        </w:rPr>
        <w:t>Báo cáo tổng hợp việc tiếp thu, giải trình ý kiến góp ý, ý kiến thẩm định đối với dự thảo Nghị quyết;</w:t>
      </w:r>
    </w:p>
    <w:p w:rsidR="00CE18D1" w:rsidRDefault="00622BCE">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i/>
          <w:spacing w:val="-8"/>
        </w:rPr>
      </w:pPr>
      <w:r>
        <w:rPr>
          <w:i/>
          <w:iCs/>
          <w:spacing w:val="-8"/>
        </w:rPr>
        <w:t xml:space="preserve">4. </w:t>
      </w:r>
      <w:r>
        <w:rPr>
          <w:i/>
        </w:rPr>
        <w:t>Bản so sánh, thuyết minh Dự thảo Nghị quyết quy định mức tối đa, mức tối thiểu của hệ số điều chỉnh mức biến động thị trường trên địa bàn tỉnh Hà Tĩnh và các hồ sơ, tài liệu liên quan</w:t>
      </w:r>
      <w:r>
        <w:rPr>
          <w:i/>
          <w:iCs/>
          <w:spacing w:val="-8"/>
        </w:rPr>
        <w:t>)</w:t>
      </w:r>
      <w:r>
        <w:rPr>
          <w:bCs/>
          <w:i/>
          <w:spacing w:val="-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E18D1">
        <w:tc>
          <w:tcPr>
            <w:tcW w:w="4531" w:type="dxa"/>
          </w:tcPr>
          <w:p w:rsidR="00CE18D1" w:rsidRDefault="00622BCE">
            <w:pPr>
              <w:jc w:val="both"/>
              <w:rPr>
                <w:b/>
                <w:i/>
                <w:iCs/>
                <w:sz w:val="24"/>
                <w:szCs w:val="24"/>
              </w:rPr>
            </w:pPr>
            <w:r>
              <w:rPr>
                <w:b/>
                <w:i/>
                <w:iCs/>
                <w:sz w:val="24"/>
                <w:szCs w:val="24"/>
              </w:rPr>
              <w:t>Nơi nhận:</w:t>
            </w:r>
          </w:p>
          <w:p w:rsidR="00CE18D1" w:rsidRDefault="00622BCE">
            <w:pPr>
              <w:jc w:val="both"/>
              <w:rPr>
                <w:bCs/>
                <w:sz w:val="22"/>
                <w:szCs w:val="22"/>
              </w:rPr>
            </w:pPr>
            <w:r>
              <w:rPr>
                <w:bCs/>
                <w:sz w:val="22"/>
                <w:szCs w:val="22"/>
              </w:rPr>
              <w:t>- Như trên;</w:t>
            </w:r>
          </w:p>
          <w:p w:rsidR="00CE18D1" w:rsidRDefault="00622BCE">
            <w:pPr>
              <w:jc w:val="both"/>
              <w:rPr>
                <w:bCs/>
                <w:sz w:val="22"/>
                <w:szCs w:val="22"/>
              </w:rPr>
            </w:pPr>
            <w:r>
              <w:rPr>
                <w:bCs/>
                <w:sz w:val="22"/>
                <w:szCs w:val="22"/>
              </w:rPr>
              <w:t>- TTr: Tỉnh ủy, HĐND tỉnh;</w:t>
            </w:r>
          </w:p>
          <w:p w:rsidR="00CE18D1" w:rsidRDefault="00622BCE">
            <w:pPr>
              <w:jc w:val="both"/>
              <w:rPr>
                <w:bCs/>
                <w:sz w:val="22"/>
                <w:szCs w:val="22"/>
              </w:rPr>
            </w:pPr>
            <w:r>
              <w:rPr>
                <w:bCs/>
                <w:sz w:val="22"/>
                <w:szCs w:val="22"/>
              </w:rPr>
              <w:t>- Ban Thường vụ Đảng ủy UBND tỉnh;</w:t>
            </w:r>
          </w:p>
          <w:p w:rsidR="00CE18D1" w:rsidRDefault="00622BCE">
            <w:pPr>
              <w:jc w:val="both"/>
              <w:rPr>
                <w:bCs/>
                <w:sz w:val="22"/>
                <w:szCs w:val="22"/>
              </w:rPr>
            </w:pPr>
            <w:r>
              <w:rPr>
                <w:bCs/>
                <w:sz w:val="22"/>
                <w:szCs w:val="22"/>
              </w:rPr>
              <w:t>- Chủ tịch, các PCT UBND tỉnh;</w:t>
            </w:r>
          </w:p>
          <w:p w:rsidR="00CE18D1" w:rsidRDefault="00622BCE">
            <w:pPr>
              <w:jc w:val="both"/>
              <w:rPr>
                <w:bCs/>
                <w:sz w:val="22"/>
                <w:szCs w:val="22"/>
              </w:rPr>
            </w:pPr>
            <w:r>
              <w:rPr>
                <w:bCs/>
                <w:sz w:val="22"/>
                <w:szCs w:val="22"/>
              </w:rPr>
              <w:t>- Ban KTNS - HĐND tỉnh;</w:t>
            </w:r>
          </w:p>
          <w:p w:rsidR="00CE18D1" w:rsidRDefault="00622BCE">
            <w:pPr>
              <w:jc w:val="both"/>
              <w:rPr>
                <w:bCs/>
                <w:sz w:val="22"/>
                <w:szCs w:val="22"/>
              </w:rPr>
            </w:pPr>
            <w:r>
              <w:rPr>
                <w:bCs/>
                <w:sz w:val="22"/>
                <w:szCs w:val="22"/>
              </w:rPr>
              <w:t>- Các Sở: Nông nghiệp và Môi trường,</w:t>
            </w:r>
          </w:p>
          <w:p w:rsidR="00CE18D1" w:rsidRDefault="00622BCE">
            <w:pPr>
              <w:jc w:val="both"/>
              <w:rPr>
                <w:bCs/>
                <w:sz w:val="22"/>
                <w:szCs w:val="22"/>
              </w:rPr>
            </w:pPr>
            <w:r>
              <w:rPr>
                <w:bCs/>
                <w:sz w:val="22"/>
                <w:szCs w:val="22"/>
              </w:rPr>
              <w:t xml:space="preserve">  Tài chính, Tư pháp;</w:t>
            </w:r>
          </w:p>
          <w:p w:rsidR="00CE18D1" w:rsidRDefault="00622BCE">
            <w:pPr>
              <w:jc w:val="both"/>
              <w:rPr>
                <w:bCs/>
                <w:sz w:val="22"/>
                <w:szCs w:val="22"/>
              </w:rPr>
            </w:pPr>
            <w:r>
              <w:rPr>
                <w:bCs/>
                <w:sz w:val="22"/>
                <w:szCs w:val="22"/>
              </w:rPr>
              <w:t>- Chánh VP, các PCVP UBND tỉnh;</w:t>
            </w:r>
          </w:p>
          <w:p w:rsidR="00CE18D1" w:rsidRDefault="00622BCE">
            <w:pPr>
              <w:jc w:val="both"/>
              <w:rPr>
                <w:bCs/>
                <w:sz w:val="22"/>
                <w:szCs w:val="22"/>
              </w:rPr>
            </w:pPr>
            <w:r>
              <w:rPr>
                <w:bCs/>
                <w:sz w:val="22"/>
                <w:szCs w:val="22"/>
              </w:rPr>
              <w:t>- Trung tâm CB-TH tỉnh;</w:t>
            </w:r>
          </w:p>
          <w:p w:rsidR="00CE18D1" w:rsidRDefault="00622BCE">
            <w:pPr>
              <w:jc w:val="both"/>
              <w:rPr>
                <w:bCs/>
              </w:rPr>
            </w:pPr>
            <w:r>
              <w:rPr>
                <w:bCs/>
                <w:sz w:val="22"/>
                <w:szCs w:val="22"/>
              </w:rPr>
              <w:t>- Lưu: VT, NL</w:t>
            </w:r>
            <w:r>
              <w:rPr>
                <w:bCs/>
                <w:sz w:val="22"/>
                <w:szCs w:val="22"/>
                <w:vertAlign w:val="subscript"/>
              </w:rPr>
              <w:t>2</w:t>
            </w:r>
            <w:r>
              <w:rPr>
                <w:bCs/>
                <w:sz w:val="22"/>
                <w:szCs w:val="22"/>
              </w:rPr>
              <w:t>.</w:t>
            </w:r>
          </w:p>
        </w:tc>
        <w:tc>
          <w:tcPr>
            <w:tcW w:w="4531" w:type="dxa"/>
          </w:tcPr>
          <w:p w:rsidR="00CE18D1" w:rsidRDefault="00622BCE">
            <w:pPr>
              <w:jc w:val="center"/>
              <w:rPr>
                <w:b/>
              </w:rPr>
            </w:pPr>
            <w:r>
              <w:rPr>
                <w:b/>
                <w:sz w:val="26"/>
                <w:szCs w:val="26"/>
              </w:rPr>
              <w:t>TM. ỦY BAN NHÂN DÂN</w:t>
            </w:r>
            <w:r>
              <w:rPr>
                <w:b/>
                <w:sz w:val="26"/>
                <w:szCs w:val="26"/>
              </w:rPr>
              <w:br/>
              <w:t>KT. CHỦ TỊCH</w:t>
            </w:r>
            <w:r>
              <w:rPr>
                <w:b/>
                <w:sz w:val="26"/>
                <w:szCs w:val="26"/>
              </w:rPr>
              <w:br/>
              <w:t>PHÓ CHỦ TỊCH</w:t>
            </w:r>
          </w:p>
          <w:p w:rsidR="00CE18D1" w:rsidRDefault="00CE18D1">
            <w:pPr>
              <w:jc w:val="center"/>
              <w:rPr>
                <w:b/>
              </w:rPr>
            </w:pPr>
          </w:p>
          <w:p w:rsidR="00CE18D1" w:rsidRDefault="00CE18D1">
            <w:pPr>
              <w:jc w:val="center"/>
              <w:rPr>
                <w:b/>
              </w:rPr>
            </w:pPr>
          </w:p>
          <w:p w:rsidR="00CE18D1" w:rsidRDefault="00CE18D1">
            <w:pPr>
              <w:jc w:val="center"/>
              <w:rPr>
                <w:b/>
              </w:rPr>
            </w:pPr>
          </w:p>
          <w:p w:rsidR="00CE18D1" w:rsidRDefault="00CE18D1">
            <w:pPr>
              <w:jc w:val="center"/>
              <w:rPr>
                <w:b/>
              </w:rPr>
            </w:pPr>
          </w:p>
          <w:p w:rsidR="00CE18D1" w:rsidRDefault="00CE18D1">
            <w:pPr>
              <w:rPr>
                <w:b/>
              </w:rPr>
            </w:pPr>
          </w:p>
          <w:p w:rsidR="00CE18D1" w:rsidRDefault="00622BCE">
            <w:pPr>
              <w:jc w:val="center"/>
              <w:rPr>
                <w:b/>
              </w:rPr>
            </w:pPr>
            <w:r>
              <w:rPr>
                <w:b/>
              </w:rPr>
              <w:t xml:space="preserve"> Hồ Huy Thành</w:t>
            </w:r>
          </w:p>
        </w:tc>
      </w:tr>
    </w:tbl>
    <w:p w:rsidR="00CE18D1" w:rsidRDefault="00CE18D1">
      <w:pPr>
        <w:pBdr>
          <w:top w:val="dotted" w:sz="4" w:space="0" w:color="FFFFFF"/>
          <w:left w:val="dotted" w:sz="4" w:space="0" w:color="FFFFFF"/>
          <w:bottom w:val="dotted" w:sz="4" w:space="22" w:color="FFFFFF"/>
          <w:right w:val="dotted" w:sz="4" w:space="0" w:color="FFFFFF"/>
        </w:pBdr>
        <w:shd w:val="clear" w:color="auto" w:fill="FFFFFF"/>
        <w:spacing w:after="120"/>
        <w:jc w:val="both"/>
        <w:rPr>
          <w:bCs/>
          <w:color w:val="EE0000"/>
        </w:rPr>
      </w:pPr>
    </w:p>
    <w:sectPr w:rsidR="00CE18D1">
      <w:headerReference w:type="default" r:id="rId8"/>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9F8" w:rsidRDefault="00A809F8">
      <w:r>
        <w:separator/>
      </w:r>
    </w:p>
  </w:endnote>
  <w:endnote w:type="continuationSeparator" w:id="0">
    <w:p w:rsidR="00A809F8" w:rsidRDefault="00A8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9F8" w:rsidRDefault="00A809F8">
      <w:r>
        <w:separator/>
      </w:r>
    </w:p>
  </w:footnote>
  <w:footnote w:type="continuationSeparator" w:id="0">
    <w:p w:rsidR="00A809F8" w:rsidRDefault="00A809F8">
      <w:r>
        <w:continuationSeparator/>
      </w:r>
    </w:p>
  </w:footnote>
  <w:footnote w:id="1">
    <w:p w:rsidR="00CE18D1" w:rsidRDefault="00622BCE">
      <w:pPr>
        <w:pStyle w:val="FootnoteText"/>
      </w:pPr>
      <w:r>
        <w:rPr>
          <w:rStyle w:val="FootnoteReference"/>
        </w:rPr>
        <w:footnoteRef/>
      </w:r>
      <w:r>
        <w:t xml:space="preserve"> </w:t>
      </w:r>
      <w:r>
        <w:rPr>
          <w:rFonts w:ascii="Times New Roman" w:hAnsi="Times New Roman"/>
        </w:rPr>
        <w:t>Đơn vị Sở Nông nghiệp và Môi trường giao nhiệm vụ xây dựng Bảng giá đất.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8D1" w:rsidRDefault="00622BCE">
    <w:pPr>
      <w:pStyle w:val="Header"/>
      <w:jc w:val="center"/>
    </w:pPr>
    <w:r>
      <w:fldChar w:fldCharType="begin"/>
    </w:r>
    <w:r>
      <w:instrText xml:space="preserve"> PAGE   \* MERGEFORMAT </w:instrText>
    </w:r>
    <w:r>
      <w:fldChar w:fldCharType="separate"/>
    </w:r>
    <w:r w:rsidR="00663BA8">
      <w:rPr>
        <w:noProof/>
      </w:rPr>
      <w:t>5</w:t>
    </w:r>
    <w:r>
      <w:rPr>
        <w:noProof/>
      </w:rPr>
      <w:fldChar w:fldCharType="end"/>
    </w:r>
  </w:p>
  <w:p w:rsidR="00CE18D1" w:rsidRDefault="00CE1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275"/>
    <w:multiLevelType w:val="hybridMultilevel"/>
    <w:tmpl w:val="B6AEB44A"/>
    <w:lvl w:ilvl="0" w:tplc="3294A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E6582"/>
    <w:multiLevelType w:val="multilevel"/>
    <w:tmpl w:val="06AE658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3781E11"/>
    <w:multiLevelType w:val="hybridMultilevel"/>
    <w:tmpl w:val="232A58C6"/>
    <w:lvl w:ilvl="0" w:tplc="3F3A23D6">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3" w15:restartNumberingAfterBreak="0">
    <w:nsid w:val="1FAE01AA"/>
    <w:multiLevelType w:val="multilevel"/>
    <w:tmpl w:val="27624BB0"/>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3047621C"/>
    <w:multiLevelType w:val="hybridMultilevel"/>
    <w:tmpl w:val="C364653C"/>
    <w:lvl w:ilvl="0" w:tplc="0DEC5BA8">
      <w:start w:val="2"/>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A6D95"/>
    <w:multiLevelType w:val="multilevel"/>
    <w:tmpl w:val="7C80A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9937AC"/>
    <w:multiLevelType w:val="hybridMultilevel"/>
    <w:tmpl w:val="E55CB010"/>
    <w:lvl w:ilvl="0" w:tplc="CE669A4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F73CFD"/>
    <w:multiLevelType w:val="multilevel"/>
    <w:tmpl w:val="EBAE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C746B"/>
    <w:multiLevelType w:val="multilevel"/>
    <w:tmpl w:val="DC483F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147978"/>
    <w:multiLevelType w:val="multilevel"/>
    <w:tmpl w:val="640EDA7E"/>
    <w:lvl w:ilvl="0">
      <w:start w:val="1"/>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66483010"/>
    <w:multiLevelType w:val="hybridMultilevel"/>
    <w:tmpl w:val="187817C0"/>
    <w:lvl w:ilvl="0" w:tplc="88EAFB60">
      <w:start w:val="1"/>
      <w:numFmt w:val="bullet"/>
      <w:lvlText w:val="•"/>
      <w:lvlJc w:val="left"/>
      <w:pPr>
        <w:tabs>
          <w:tab w:val="num" w:pos="720"/>
        </w:tabs>
        <w:ind w:left="720" w:hanging="360"/>
      </w:pPr>
      <w:rPr>
        <w:rFonts w:ascii="Arial" w:hAnsi="Arial" w:hint="default"/>
      </w:rPr>
    </w:lvl>
    <w:lvl w:ilvl="1" w:tplc="4246E2E0" w:tentative="1">
      <w:start w:val="1"/>
      <w:numFmt w:val="bullet"/>
      <w:lvlText w:val="•"/>
      <w:lvlJc w:val="left"/>
      <w:pPr>
        <w:tabs>
          <w:tab w:val="num" w:pos="1440"/>
        </w:tabs>
        <w:ind w:left="1440" w:hanging="360"/>
      </w:pPr>
      <w:rPr>
        <w:rFonts w:ascii="Arial" w:hAnsi="Arial" w:hint="default"/>
      </w:rPr>
    </w:lvl>
    <w:lvl w:ilvl="2" w:tplc="45CC1384" w:tentative="1">
      <w:start w:val="1"/>
      <w:numFmt w:val="bullet"/>
      <w:lvlText w:val="•"/>
      <w:lvlJc w:val="left"/>
      <w:pPr>
        <w:tabs>
          <w:tab w:val="num" w:pos="2160"/>
        </w:tabs>
        <w:ind w:left="2160" w:hanging="360"/>
      </w:pPr>
      <w:rPr>
        <w:rFonts w:ascii="Arial" w:hAnsi="Arial" w:hint="default"/>
      </w:rPr>
    </w:lvl>
    <w:lvl w:ilvl="3" w:tplc="2BB4151C" w:tentative="1">
      <w:start w:val="1"/>
      <w:numFmt w:val="bullet"/>
      <w:lvlText w:val="•"/>
      <w:lvlJc w:val="left"/>
      <w:pPr>
        <w:tabs>
          <w:tab w:val="num" w:pos="2880"/>
        </w:tabs>
        <w:ind w:left="2880" w:hanging="360"/>
      </w:pPr>
      <w:rPr>
        <w:rFonts w:ascii="Arial" w:hAnsi="Arial" w:hint="default"/>
      </w:rPr>
    </w:lvl>
    <w:lvl w:ilvl="4" w:tplc="2D9C04C6" w:tentative="1">
      <w:start w:val="1"/>
      <w:numFmt w:val="bullet"/>
      <w:lvlText w:val="•"/>
      <w:lvlJc w:val="left"/>
      <w:pPr>
        <w:tabs>
          <w:tab w:val="num" w:pos="3600"/>
        </w:tabs>
        <w:ind w:left="3600" w:hanging="360"/>
      </w:pPr>
      <w:rPr>
        <w:rFonts w:ascii="Arial" w:hAnsi="Arial" w:hint="default"/>
      </w:rPr>
    </w:lvl>
    <w:lvl w:ilvl="5" w:tplc="9BEE8142" w:tentative="1">
      <w:start w:val="1"/>
      <w:numFmt w:val="bullet"/>
      <w:lvlText w:val="•"/>
      <w:lvlJc w:val="left"/>
      <w:pPr>
        <w:tabs>
          <w:tab w:val="num" w:pos="4320"/>
        </w:tabs>
        <w:ind w:left="4320" w:hanging="360"/>
      </w:pPr>
      <w:rPr>
        <w:rFonts w:ascii="Arial" w:hAnsi="Arial" w:hint="default"/>
      </w:rPr>
    </w:lvl>
    <w:lvl w:ilvl="6" w:tplc="640211D8" w:tentative="1">
      <w:start w:val="1"/>
      <w:numFmt w:val="bullet"/>
      <w:lvlText w:val="•"/>
      <w:lvlJc w:val="left"/>
      <w:pPr>
        <w:tabs>
          <w:tab w:val="num" w:pos="5040"/>
        </w:tabs>
        <w:ind w:left="5040" w:hanging="360"/>
      </w:pPr>
      <w:rPr>
        <w:rFonts w:ascii="Arial" w:hAnsi="Arial" w:hint="default"/>
      </w:rPr>
    </w:lvl>
    <w:lvl w:ilvl="7" w:tplc="D368CC7A" w:tentative="1">
      <w:start w:val="1"/>
      <w:numFmt w:val="bullet"/>
      <w:lvlText w:val="•"/>
      <w:lvlJc w:val="left"/>
      <w:pPr>
        <w:tabs>
          <w:tab w:val="num" w:pos="5760"/>
        </w:tabs>
        <w:ind w:left="5760" w:hanging="360"/>
      </w:pPr>
      <w:rPr>
        <w:rFonts w:ascii="Arial" w:hAnsi="Arial" w:hint="default"/>
      </w:rPr>
    </w:lvl>
    <w:lvl w:ilvl="8" w:tplc="05D4E78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BF901FD"/>
    <w:multiLevelType w:val="hybridMultilevel"/>
    <w:tmpl w:val="15E68664"/>
    <w:lvl w:ilvl="0" w:tplc="7AD48620">
      <w:start w:val="1"/>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1BF07A7"/>
    <w:multiLevelType w:val="multilevel"/>
    <w:tmpl w:val="736C97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AF16A2"/>
    <w:multiLevelType w:val="hybridMultilevel"/>
    <w:tmpl w:val="13888D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444A8E"/>
    <w:multiLevelType w:val="hybridMultilevel"/>
    <w:tmpl w:val="232A58C6"/>
    <w:lvl w:ilvl="0" w:tplc="3F3A23D6">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5" w15:restartNumberingAfterBreak="0">
    <w:nsid w:val="7A8A4ECA"/>
    <w:multiLevelType w:val="hybridMultilevel"/>
    <w:tmpl w:val="281868AE"/>
    <w:lvl w:ilvl="0" w:tplc="52F60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0"/>
  </w:num>
  <w:num w:numId="3">
    <w:abstractNumId w:val="4"/>
  </w:num>
  <w:num w:numId="4">
    <w:abstractNumId w:val="13"/>
  </w:num>
  <w:num w:numId="5">
    <w:abstractNumId w:val="6"/>
  </w:num>
  <w:num w:numId="6">
    <w:abstractNumId w:val="14"/>
  </w:num>
  <w:num w:numId="7">
    <w:abstractNumId w:val="2"/>
  </w:num>
  <w:num w:numId="8">
    <w:abstractNumId w:val="10"/>
  </w:num>
  <w:num w:numId="9">
    <w:abstractNumId w:val="11"/>
  </w:num>
  <w:num w:numId="10">
    <w:abstractNumId w:val="1"/>
  </w:num>
  <w:num w:numId="11">
    <w:abstractNumId w:val="3"/>
  </w:num>
  <w:num w:numId="12">
    <w:abstractNumId w:val="9"/>
  </w:num>
  <w:num w:numId="13">
    <w:abstractNumId w:val="5"/>
  </w:num>
  <w:num w:numId="14">
    <w:abstractNumId w:val="12"/>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8D1"/>
    <w:rsid w:val="000C0DDB"/>
    <w:rsid w:val="001D0182"/>
    <w:rsid w:val="002641B4"/>
    <w:rsid w:val="00351AC6"/>
    <w:rsid w:val="0039648D"/>
    <w:rsid w:val="00503B41"/>
    <w:rsid w:val="00622BCE"/>
    <w:rsid w:val="00663BA8"/>
    <w:rsid w:val="00841354"/>
    <w:rsid w:val="00A6605F"/>
    <w:rsid w:val="00A809F8"/>
    <w:rsid w:val="00AB50B8"/>
    <w:rsid w:val="00BF27CC"/>
    <w:rsid w:val="00CE18D1"/>
    <w:rsid w:val="00DB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3ED622-436C-4F97-806F-AD330ED4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8"/>
      <w:szCs w:val="28"/>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ascii="Times New Roman" w:eastAsia="Arial Unicode MS" w:hAnsi="Times New Roman"/>
      <w:color w:val="000000"/>
      <w:sz w:val="24"/>
      <w:u w:color="000000"/>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Char1CharCharCharCharCharCharCharCharCharCharCharCharCharCharCharChar1CharChar">
    <w:name w:val="Char1 Char Char Char Char Char Char Char Char Char Char Char Char Char Char Char Char1 Char Char"/>
    <w:basedOn w:val="Normal"/>
    <w:pPr>
      <w:widowControl w:val="0"/>
      <w:jc w:val="both"/>
    </w:pPr>
    <w:rPr>
      <w:rFonts w:eastAsia="SimSun"/>
      <w:kern w:val="2"/>
      <w:sz w:val="24"/>
      <w:szCs w:val="26"/>
      <w:lang w:eastAsia="zh-CN"/>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8"/>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sz w:val="28"/>
      <w:szCs w:val="28"/>
    </w:rPr>
  </w:style>
  <w:style w:type="paragraph" w:styleId="NormalWeb">
    <w:name w:val="Normal (Web)"/>
    <w:basedOn w:val="Normal"/>
    <w:link w:val="NormalWebChar"/>
    <w:uiPriority w:val="99"/>
    <w:unhideWhenUsed/>
    <w:qFormat/>
    <w:pPr>
      <w:spacing w:before="100" w:beforeAutospacing="1" w:after="100" w:afterAutospacing="1"/>
    </w:pPr>
    <w:rPr>
      <w:sz w:val="24"/>
      <w:szCs w:val="24"/>
    </w:rPr>
  </w:style>
  <w:style w:type="paragraph" w:styleId="BodyTextIndent">
    <w:name w:val="Body Text Indent"/>
    <w:basedOn w:val="Normal"/>
    <w:link w:val="BodyTextIndentChar"/>
    <w:pPr>
      <w:spacing w:after="120"/>
      <w:ind w:left="283"/>
    </w:pPr>
    <w:rPr>
      <w:rFonts w:ascii=".VnTime" w:hAnsi=".VnTime"/>
    </w:rPr>
  </w:style>
  <w:style w:type="character" w:customStyle="1" w:styleId="BodyTextIndentChar">
    <w:name w:val="Body Text Indent Char"/>
    <w:basedOn w:val="DefaultParagraphFont"/>
    <w:link w:val="BodyTextIndent"/>
    <w:rPr>
      <w:rFonts w:ascii=".VnTime" w:eastAsia="Times New Roman"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
    <w:uiPriority w:val="99"/>
    <w:qFormat/>
    <w:rPr>
      <w:rFonts w:ascii=".VnTime" w:hAnsi=".VnTime"/>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qFormat/>
    <w:rPr>
      <w:rFonts w:ascii=".VnTime" w:eastAsia="Times New Roman" w:hAnsi=".VnTime"/>
    </w:rPr>
  </w:style>
  <w:style w:type="character" w:styleId="FootnoteReference">
    <w:name w:val="footnote reference"/>
    <w:aliases w:val="Footnote,Footnote text,SUPERS,Footnote dich,ftref,(NECG) Footnote Reference,16 Point,Superscript 6 Point,Footnote + Arial,10 pt,Black,fr,BVI fnr,footnote ref,Footnote Reference Number,Знак сноски 1,Ref,de nota al pie,R,f,BearingPoint"/>
    <w:link w:val="CharChar1CharCharCharChar1CharCharCharCharCharCharCharChar"/>
    <w:uiPriority w:val="99"/>
    <w:qFormat/>
    <w:rPr>
      <w:vertAlign w:val="superscript"/>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Times New Roman" w:eastAsia="Times New Roman" w:hAnsi="Times New Roman"/>
    </w:rPr>
  </w:style>
  <w:style w:type="paragraph" w:styleId="Revision">
    <w:name w:val="Revision"/>
    <w:hidden/>
    <w:uiPriority w:val="99"/>
    <w:semiHidden/>
    <w:rPr>
      <w:rFonts w:ascii="Times New Roman" w:eastAsia="Times New Roman" w:hAnsi="Times New Roman"/>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pPr>
      <w:spacing w:after="160" w:line="240" w:lineRule="exact"/>
    </w:pPr>
    <w:rPr>
      <w:rFonts w:ascii="Calibri" w:eastAsia="Calibri" w:hAnsi="Calibri"/>
      <w:sz w:val="20"/>
      <w:szCs w:val="20"/>
      <w:vertAlign w:val="superscript"/>
    </w:rPr>
  </w:style>
  <w:style w:type="character" w:customStyle="1" w:styleId="fontstyle21">
    <w:name w:val="fontstyle21"/>
    <w:basedOn w:val="DefaultParagraphFont"/>
    <w:rPr>
      <w:rFonts w:ascii="Times New Roman" w:hAnsi="Times New Roman" w:cs="Times New Roman" w:hint="default"/>
      <w:b/>
      <w:bCs/>
      <w:i w:val="0"/>
      <w:iCs w:val="0"/>
      <w:color w:val="000000"/>
      <w:sz w:val="26"/>
      <w:szCs w:val="26"/>
    </w:rPr>
  </w:style>
  <w:style w:type="paragraph" w:customStyle="1" w:styleId="CharCharChar1CharCharCharCharCharChar1Char">
    <w:name w:val="Char Char Char1 Char Char Char Char Char Char1 Char"/>
    <w:basedOn w:val="Normal"/>
    <w:pPr>
      <w:spacing w:after="160" w:line="240" w:lineRule="exact"/>
    </w:pPr>
    <w:rPr>
      <w:rFonts w:ascii="Verdana" w:hAnsi="Verdana"/>
      <w:sz w:val="20"/>
      <w:szCs w:val="20"/>
      <w:lang w:val="en-GB"/>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8"/>
      <w:szCs w:val="2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NormalWebChar">
    <w:name w:val="Normal (Web) Char"/>
    <w:link w:val="NormalWeb"/>
    <w:uiPriority w:val="99"/>
    <w:qFormat/>
    <w:locked/>
    <w:rPr>
      <w:rFonts w:ascii="Times New Roman" w:eastAsia="Times New Roman" w:hAnsi="Times New Roman"/>
      <w:sz w:val="24"/>
      <w:szCs w:val="24"/>
    </w:rPr>
  </w:style>
  <w:style w:type="paragraph" w:customStyle="1" w:styleId="qowt-stl-normal">
    <w:name w:val="qowt-stl-normal"/>
    <w:basedOn w:val="Normal"/>
    <w:pPr>
      <w:spacing w:before="100" w:beforeAutospacing="1" w:after="100" w:afterAutospacing="1"/>
    </w:pPr>
    <w:rPr>
      <w:sz w:val="24"/>
      <w:szCs w:val="24"/>
    </w:rPr>
  </w:style>
  <w:style w:type="character" w:customStyle="1" w:styleId="whitespace-normal">
    <w:name w:val="whitespace-normal"/>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851">
      <w:bodyDiv w:val="1"/>
      <w:marLeft w:val="0"/>
      <w:marRight w:val="0"/>
      <w:marTop w:val="0"/>
      <w:marBottom w:val="0"/>
      <w:divBdr>
        <w:top w:val="none" w:sz="0" w:space="0" w:color="auto"/>
        <w:left w:val="none" w:sz="0" w:space="0" w:color="auto"/>
        <w:bottom w:val="none" w:sz="0" w:space="0" w:color="auto"/>
        <w:right w:val="none" w:sz="0" w:space="0" w:color="auto"/>
      </w:divBdr>
    </w:div>
    <w:div w:id="391739017">
      <w:bodyDiv w:val="1"/>
      <w:marLeft w:val="0"/>
      <w:marRight w:val="0"/>
      <w:marTop w:val="0"/>
      <w:marBottom w:val="0"/>
      <w:divBdr>
        <w:top w:val="none" w:sz="0" w:space="0" w:color="auto"/>
        <w:left w:val="none" w:sz="0" w:space="0" w:color="auto"/>
        <w:bottom w:val="none" w:sz="0" w:space="0" w:color="auto"/>
        <w:right w:val="none" w:sz="0" w:space="0" w:color="auto"/>
      </w:divBdr>
    </w:div>
    <w:div w:id="440883885">
      <w:bodyDiv w:val="1"/>
      <w:marLeft w:val="0"/>
      <w:marRight w:val="0"/>
      <w:marTop w:val="0"/>
      <w:marBottom w:val="0"/>
      <w:divBdr>
        <w:top w:val="none" w:sz="0" w:space="0" w:color="auto"/>
        <w:left w:val="none" w:sz="0" w:space="0" w:color="auto"/>
        <w:bottom w:val="none" w:sz="0" w:space="0" w:color="auto"/>
        <w:right w:val="none" w:sz="0" w:space="0" w:color="auto"/>
      </w:divBdr>
    </w:div>
    <w:div w:id="487290315">
      <w:bodyDiv w:val="1"/>
      <w:marLeft w:val="0"/>
      <w:marRight w:val="0"/>
      <w:marTop w:val="0"/>
      <w:marBottom w:val="0"/>
      <w:divBdr>
        <w:top w:val="none" w:sz="0" w:space="0" w:color="auto"/>
        <w:left w:val="none" w:sz="0" w:space="0" w:color="auto"/>
        <w:bottom w:val="none" w:sz="0" w:space="0" w:color="auto"/>
        <w:right w:val="none" w:sz="0" w:space="0" w:color="auto"/>
      </w:divBdr>
    </w:div>
    <w:div w:id="539784380">
      <w:bodyDiv w:val="1"/>
      <w:marLeft w:val="0"/>
      <w:marRight w:val="0"/>
      <w:marTop w:val="0"/>
      <w:marBottom w:val="0"/>
      <w:divBdr>
        <w:top w:val="none" w:sz="0" w:space="0" w:color="auto"/>
        <w:left w:val="none" w:sz="0" w:space="0" w:color="auto"/>
        <w:bottom w:val="none" w:sz="0" w:space="0" w:color="auto"/>
        <w:right w:val="none" w:sz="0" w:space="0" w:color="auto"/>
      </w:divBdr>
      <w:divsChild>
        <w:div w:id="769273352">
          <w:marLeft w:val="547"/>
          <w:marRight w:val="0"/>
          <w:marTop w:val="106"/>
          <w:marBottom w:val="0"/>
          <w:divBdr>
            <w:top w:val="none" w:sz="0" w:space="0" w:color="auto"/>
            <w:left w:val="none" w:sz="0" w:space="0" w:color="auto"/>
            <w:bottom w:val="none" w:sz="0" w:space="0" w:color="auto"/>
            <w:right w:val="none" w:sz="0" w:space="0" w:color="auto"/>
          </w:divBdr>
        </w:div>
        <w:div w:id="1872571808">
          <w:marLeft w:val="547"/>
          <w:marRight w:val="0"/>
          <w:marTop w:val="106"/>
          <w:marBottom w:val="0"/>
          <w:divBdr>
            <w:top w:val="none" w:sz="0" w:space="0" w:color="auto"/>
            <w:left w:val="none" w:sz="0" w:space="0" w:color="auto"/>
            <w:bottom w:val="none" w:sz="0" w:space="0" w:color="auto"/>
            <w:right w:val="none" w:sz="0" w:space="0" w:color="auto"/>
          </w:divBdr>
        </w:div>
        <w:div w:id="316806497">
          <w:marLeft w:val="547"/>
          <w:marRight w:val="0"/>
          <w:marTop w:val="106"/>
          <w:marBottom w:val="0"/>
          <w:divBdr>
            <w:top w:val="none" w:sz="0" w:space="0" w:color="auto"/>
            <w:left w:val="none" w:sz="0" w:space="0" w:color="auto"/>
            <w:bottom w:val="none" w:sz="0" w:space="0" w:color="auto"/>
            <w:right w:val="none" w:sz="0" w:space="0" w:color="auto"/>
          </w:divBdr>
        </w:div>
        <w:div w:id="1684817466">
          <w:marLeft w:val="547"/>
          <w:marRight w:val="0"/>
          <w:marTop w:val="106"/>
          <w:marBottom w:val="0"/>
          <w:divBdr>
            <w:top w:val="none" w:sz="0" w:space="0" w:color="auto"/>
            <w:left w:val="none" w:sz="0" w:space="0" w:color="auto"/>
            <w:bottom w:val="none" w:sz="0" w:space="0" w:color="auto"/>
            <w:right w:val="none" w:sz="0" w:space="0" w:color="auto"/>
          </w:divBdr>
        </w:div>
        <w:div w:id="1636713774">
          <w:marLeft w:val="547"/>
          <w:marRight w:val="0"/>
          <w:marTop w:val="106"/>
          <w:marBottom w:val="0"/>
          <w:divBdr>
            <w:top w:val="none" w:sz="0" w:space="0" w:color="auto"/>
            <w:left w:val="none" w:sz="0" w:space="0" w:color="auto"/>
            <w:bottom w:val="none" w:sz="0" w:space="0" w:color="auto"/>
            <w:right w:val="none" w:sz="0" w:space="0" w:color="auto"/>
          </w:divBdr>
        </w:div>
      </w:divsChild>
    </w:div>
    <w:div w:id="731781391">
      <w:bodyDiv w:val="1"/>
      <w:marLeft w:val="0"/>
      <w:marRight w:val="0"/>
      <w:marTop w:val="0"/>
      <w:marBottom w:val="0"/>
      <w:divBdr>
        <w:top w:val="none" w:sz="0" w:space="0" w:color="auto"/>
        <w:left w:val="none" w:sz="0" w:space="0" w:color="auto"/>
        <w:bottom w:val="none" w:sz="0" w:space="0" w:color="auto"/>
        <w:right w:val="none" w:sz="0" w:space="0" w:color="auto"/>
      </w:divBdr>
    </w:div>
    <w:div w:id="872040341">
      <w:bodyDiv w:val="1"/>
      <w:marLeft w:val="0"/>
      <w:marRight w:val="0"/>
      <w:marTop w:val="0"/>
      <w:marBottom w:val="0"/>
      <w:divBdr>
        <w:top w:val="none" w:sz="0" w:space="0" w:color="auto"/>
        <w:left w:val="none" w:sz="0" w:space="0" w:color="auto"/>
        <w:bottom w:val="none" w:sz="0" w:space="0" w:color="auto"/>
        <w:right w:val="none" w:sz="0" w:space="0" w:color="auto"/>
      </w:divBdr>
    </w:div>
    <w:div w:id="874002896">
      <w:bodyDiv w:val="1"/>
      <w:marLeft w:val="0"/>
      <w:marRight w:val="0"/>
      <w:marTop w:val="0"/>
      <w:marBottom w:val="0"/>
      <w:divBdr>
        <w:top w:val="none" w:sz="0" w:space="0" w:color="auto"/>
        <w:left w:val="none" w:sz="0" w:space="0" w:color="auto"/>
        <w:bottom w:val="none" w:sz="0" w:space="0" w:color="auto"/>
        <w:right w:val="none" w:sz="0" w:space="0" w:color="auto"/>
      </w:divBdr>
    </w:div>
    <w:div w:id="996885020">
      <w:bodyDiv w:val="1"/>
      <w:marLeft w:val="0"/>
      <w:marRight w:val="0"/>
      <w:marTop w:val="0"/>
      <w:marBottom w:val="0"/>
      <w:divBdr>
        <w:top w:val="none" w:sz="0" w:space="0" w:color="auto"/>
        <w:left w:val="none" w:sz="0" w:space="0" w:color="auto"/>
        <w:bottom w:val="none" w:sz="0" w:space="0" w:color="auto"/>
        <w:right w:val="none" w:sz="0" w:space="0" w:color="auto"/>
      </w:divBdr>
    </w:div>
    <w:div w:id="1038311870">
      <w:bodyDiv w:val="1"/>
      <w:marLeft w:val="0"/>
      <w:marRight w:val="0"/>
      <w:marTop w:val="0"/>
      <w:marBottom w:val="0"/>
      <w:divBdr>
        <w:top w:val="none" w:sz="0" w:space="0" w:color="auto"/>
        <w:left w:val="none" w:sz="0" w:space="0" w:color="auto"/>
        <w:bottom w:val="none" w:sz="0" w:space="0" w:color="auto"/>
        <w:right w:val="none" w:sz="0" w:space="0" w:color="auto"/>
      </w:divBdr>
    </w:div>
    <w:div w:id="1259216636">
      <w:bodyDiv w:val="1"/>
      <w:marLeft w:val="0"/>
      <w:marRight w:val="0"/>
      <w:marTop w:val="0"/>
      <w:marBottom w:val="0"/>
      <w:divBdr>
        <w:top w:val="none" w:sz="0" w:space="0" w:color="auto"/>
        <w:left w:val="none" w:sz="0" w:space="0" w:color="auto"/>
        <w:bottom w:val="none" w:sz="0" w:space="0" w:color="auto"/>
        <w:right w:val="none" w:sz="0" w:space="0" w:color="auto"/>
      </w:divBdr>
    </w:div>
    <w:div w:id="1361204484">
      <w:bodyDiv w:val="1"/>
      <w:marLeft w:val="0"/>
      <w:marRight w:val="0"/>
      <w:marTop w:val="0"/>
      <w:marBottom w:val="0"/>
      <w:divBdr>
        <w:top w:val="none" w:sz="0" w:space="0" w:color="auto"/>
        <w:left w:val="none" w:sz="0" w:space="0" w:color="auto"/>
        <w:bottom w:val="none" w:sz="0" w:space="0" w:color="auto"/>
        <w:right w:val="none" w:sz="0" w:space="0" w:color="auto"/>
      </w:divBdr>
    </w:div>
    <w:div w:id="1487739851">
      <w:bodyDiv w:val="1"/>
      <w:marLeft w:val="0"/>
      <w:marRight w:val="0"/>
      <w:marTop w:val="0"/>
      <w:marBottom w:val="0"/>
      <w:divBdr>
        <w:top w:val="none" w:sz="0" w:space="0" w:color="auto"/>
        <w:left w:val="none" w:sz="0" w:space="0" w:color="auto"/>
        <w:bottom w:val="none" w:sz="0" w:space="0" w:color="auto"/>
        <w:right w:val="none" w:sz="0" w:space="0" w:color="auto"/>
      </w:divBdr>
    </w:div>
    <w:div w:id="1493453285">
      <w:bodyDiv w:val="1"/>
      <w:marLeft w:val="0"/>
      <w:marRight w:val="0"/>
      <w:marTop w:val="0"/>
      <w:marBottom w:val="0"/>
      <w:divBdr>
        <w:top w:val="none" w:sz="0" w:space="0" w:color="auto"/>
        <w:left w:val="none" w:sz="0" w:space="0" w:color="auto"/>
        <w:bottom w:val="none" w:sz="0" w:space="0" w:color="auto"/>
        <w:right w:val="none" w:sz="0" w:space="0" w:color="auto"/>
      </w:divBdr>
    </w:div>
    <w:div w:id="1904635094">
      <w:bodyDiv w:val="1"/>
      <w:marLeft w:val="0"/>
      <w:marRight w:val="0"/>
      <w:marTop w:val="0"/>
      <w:marBottom w:val="0"/>
      <w:divBdr>
        <w:top w:val="none" w:sz="0" w:space="0" w:color="auto"/>
        <w:left w:val="none" w:sz="0" w:space="0" w:color="auto"/>
        <w:bottom w:val="none" w:sz="0" w:space="0" w:color="auto"/>
        <w:right w:val="none" w:sz="0" w:space="0" w:color="auto"/>
      </w:divBdr>
    </w:div>
    <w:div w:id="20328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DA5E0-7650-420A-AC43-4DF4010CE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2422</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Phòng Tổng hợp UBND tỉnh Hà Tĩnh</vt:lpstr>
    </vt:vector>
  </TitlesOfParts>
  <Company>home</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UBND tỉnh Hà Tĩnh</dc:title>
  <dc:creator>Phòng Tổng hợp UBND tỉnh Hà Tĩnh</dc:creator>
  <cp:lastModifiedBy>Windows User</cp:lastModifiedBy>
  <cp:revision>21</cp:revision>
  <cp:lastPrinted>2024-04-19T08:13:00Z</cp:lastPrinted>
  <dcterms:created xsi:type="dcterms:W3CDTF">2026-05-18T04:24:00Z</dcterms:created>
  <dcterms:modified xsi:type="dcterms:W3CDTF">2026-05-18T07:15:00Z</dcterms:modified>
</cp:coreProperties>
</file>