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9640" w:type="dxa"/>
        <w:tblInd w:w="-426" w:type="dxa"/>
        <w:tblLayout w:type="fixed"/>
        <w:tblCellMar>
          <w:top w:w="0" w:type="dxa"/>
          <w:left w:w="108" w:type="dxa"/>
          <w:bottom w:w="0" w:type="dxa"/>
          <w:right w:w="108" w:type="dxa"/>
        </w:tblCellMar>
      </w:tblPr>
      <w:tblGrid>
        <w:gridCol w:w="3735"/>
        <w:gridCol w:w="5905"/>
      </w:tblGrid>
      <w:tr w14:paraId="719FA037">
        <w:tblPrEx>
          <w:tblCellMar>
            <w:top w:w="0" w:type="dxa"/>
            <w:left w:w="108" w:type="dxa"/>
            <w:bottom w:w="0" w:type="dxa"/>
            <w:right w:w="108" w:type="dxa"/>
          </w:tblCellMar>
        </w:tblPrEx>
        <w:trPr>
          <w:trHeight w:val="457" w:hRule="atLeast"/>
        </w:trPr>
        <w:tc>
          <w:tcPr>
            <w:tcW w:w="3515" w:type="dxa"/>
          </w:tcPr>
          <w:p w14:paraId="01151D17">
            <w:pPr>
              <w:spacing w:after="0" w:line="240" w:lineRule="auto"/>
              <w:ind w:firstLine="21"/>
              <w:jc w:val="center"/>
              <w:rPr>
                <w:rFonts w:ascii="Times New Roman" w:hAnsi="Times New Roman"/>
                <w:b/>
                <w:sz w:val="26"/>
                <w:szCs w:val="26"/>
                <w:lang w:val="nl-NL"/>
              </w:rPr>
            </w:pPr>
            <w:bookmarkStart w:id="2" w:name="_GoBack"/>
            <w:bookmarkEnd w:id="2"/>
            <w:bookmarkStart w:id="0" w:name="loai_1"/>
            <w:r>
              <w:rPr>
                <w:rFonts w:ascii="Times New Roman" w:hAnsi="Times New Roman" w:eastAsia="Times New Roman"/>
                <w:b/>
                <w:sz w:val="26"/>
                <w:lang w:val="nl-NL"/>
              </w:rPr>
              <w:t xml:space="preserve">HỘI ĐỒNG NHÂN DÂN </w:t>
            </w:r>
          </w:p>
          <w:p w14:paraId="22099BA7">
            <w:pPr>
              <w:spacing w:after="0" w:line="240" w:lineRule="auto"/>
              <w:ind w:firstLine="21"/>
              <w:jc w:val="center"/>
              <w:rPr>
                <w:rFonts w:ascii="Times New Roman" w:hAnsi="Times New Roman"/>
                <w:b/>
                <w:sz w:val="26"/>
                <w:szCs w:val="26"/>
                <w:lang w:val="nl-NL"/>
              </w:rPr>
            </w:pPr>
            <w:r>
              <w:rPr>
                <w:rFonts w:ascii="Times New Roman" w:hAnsi="Times New Roman" w:eastAsia="Times New Roman"/>
                <w:b/>
                <w:sz w:val="26"/>
                <w:lang w:val="nl-NL"/>
              </w:rPr>
              <w:t xml:space="preserve">TỈNH HÀ TĨNH </w:t>
            </w:r>
          </w:p>
          <w:p w14:paraId="65A51428">
            <w:pPr>
              <w:spacing w:after="0" w:line="240" w:lineRule="auto"/>
              <w:ind w:firstLine="21"/>
              <w:jc w:val="center"/>
              <w:rPr>
                <w:rFonts w:ascii="Times New Roman" w:hAnsi="Times New Roman"/>
                <w:b/>
                <w:szCs w:val="28"/>
                <w:lang w:val="nl-NL"/>
              </w:rPr>
            </w:pPr>
            <w:r>
              <w:rPr>
                <w:rFonts w:ascii="Times New Roman" w:hAnsi="Times New Roman" w:eastAsia="Times New Roman"/>
                <w:b/>
                <w:sz w:val="26"/>
              </w:rPr>
              <mc:AlternateContent>
                <mc:Choice Requires="wps">
                  <w:drawing>
                    <wp:anchor distT="0" distB="0" distL="114300" distR="114300" simplePos="0" relativeHeight="251660288" behindDoc="0" locked="0" layoutInCell="1" allowOverlap="1">
                      <wp:simplePos x="0" y="0"/>
                      <wp:positionH relativeFrom="column">
                        <wp:posOffset>803275</wp:posOffset>
                      </wp:positionH>
                      <wp:positionV relativeFrom="paragraph">
                        <wp:posOffset>22860</wp:posOffset>
                      </wp:positionV>
                      <wp:extent cx="578485" cy="0"/>
                      <wp:effectExtent l="0" t="0" r="31750" b="19050"/>
                      <wp:wrapNone/>
                      <wp:docPr id="45249385" name="Straight Connector 6"/>
                      <wp:cNvGraphicFramePr/>
                      <a:graphic xmlns:a="http://schemas.openxmlformats.org/drawingml/2006/main">
                        <a:graphicData uri="http://schemas.microsoft.com/office/word/2010/wordprocessingShape">
                          <wps:wsp>
                            <wps:cNvCnPr/>
                            <wps:spPr>
                              <a:xfrm>
                                <a:off x="0" y="0"/>
                                <a:ext cx="57842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6" o:spid="_x0000_s1026" o:spt="20" style="position:absolute;left:0pt;margin-left:63.25pt;margin-top:1.8pt;height:0pt;width:45.55pt;z-index:251660288;mso-width-relative:page;mso-height-relative:page;" filled="f" stroked="t" coordsize="21600,21600" o:gfxdata="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xQ9Gc1QAAAAcBAAAPAAAAAAAAAAEA&#10;IAAAACIAAABkcnMvZG93bnJldi54bWxQSwECFAAUAAAACACHTuJA20XMFdkBAAC7AwAADgAAAAAA&#10;AAABACAAAAAkAQAAZHJzL2Uyb0RvYy54bWxQSwUGAAAAAAYABgBZAQAAbwUAAAAA&#10;">
                      <v:fill on="f" focussize="0,0"/>
                      <v:stroke weight="1pt" color="#000000 [3200]" miterlimit="8" joinstyle="miter"/>
                      <v:imagedata o:title=""/>
                      <o:lock v:ext="edit" aspectratio="f"/>
                    </v:line>
                  </w:pict>
                </mc:Fallback>
              </mc:AlternateContent>
            </w:r>
          </w:p>
        </w:tc>
        <w:tc>
          <w:tcPr>
            <w:tcW w:w="5556" w:type="dxa"/>
          </w:tcPr>
          <w:p w14:paraId="09033A9C">
            <w:pPr>
              <w:spacing w:after="0" w:line="240" w:lineRule="auto"/>
              <w:ind w:hanging="14"/>
              <w:jc w:val="center"/>
              <w:rPr>
                <w:rFonts w:ascii="Times New Roman" w:hAnsi="Times New Roman"/>
                <w:b/>
                <w:sz w:val="26"/>
                <w:szCs w:val="26"/>
                <w:lang w:val="nl-NL"/>
              </w:rPr>
            </w:pPr>
            <w:r>
              <w:rPr>
                <w:rFonts w:ascii="Times New Roman" w:hAnsi="Times New Roman" w:eastAsia="Times New Roman"/>
                <w:b/>
                <w:sz w:val="26"/>
                <w:lang w:val="nl-NL"/>
              </w:rPr>
              <w:t xml:space="preserve">CỘNG HÒA XÃ HỘI CHỦ NGHĨA VIỆT NAM </w:t>
            </w:r>
          </w:p>
          <w:p w14:paraId="5BEC1609">
            <w:pPr>
              <w:spacing w:after="0" w:line="240" w:lineRule="auto"/>
              <w:ind w:hanging="14"/>
              <w:jc w:val="center"/>
              <w:rPr>
                <w:rFonts w:ascii="Times New Roman" w:hAnsi="Times New Roman"/>
                <w:b/>
                <w:szCs w:val="28"/>
                <w:lang w:val="nl-NL"/>
              </w:rPr>
            </w:pPr>
            <w:r>
              <w:rPr>
                <w:rFonts w:ascii="Times New Roman" w:hAnsi="Times New Roman" w:eastAsia="Times New Roman"/>
                <w:b/>
                <w:sz w:val="26"/>
                <w:lang w:val="nl-NL"/>
              </w:rPr>
              <w:t>Độc lập - Tự do - Hạnh phúc</w:t>
            </w:r>
          </w:p>
          <w:p w14:paraId="0B164D49">
            <w:pPr>
              <w:spacing w:after="0" w:line="240" w:lineRule="auto"/>
              <w:ind w:hanging="14"/>
              <w:jc w:val="center"/>
              <w:rPr>
                <w:rFonts w:ascii="Times New Roman" w:hAnsi="Times New Roman"/>
                <w:b/>
                <w:szCs w:val="28"/>
                <w:lang w:val="nl-NL"/>
              </w:rPr>
            </w:pPr>
            <w:r>
              <w:rPr>
                <w:rFonts w:ascii="Times New Roman" w:hAnsi="Times New Roman" w:eastAsia="Times New Roman"/>
                <w:b/>
                <w:sz w:val="26"/>
              </w:rPr>
              <mc:AlternateContent>
                <mc:Choice Requires="wps">
                  <w:drawing>
                    <wp:anchor distT="0" distB="0" distL="114300" distR="114300" simplePos="0" relativeHeight="251659264" behindDoc="0" locked="0" layoutInCell="1" allowOverlap="1">
                      <wp:simplePos x="0" y="0"/>
                      <wp:positionH relativeFrom="column">
                        <wp:posOffset>739140</wp:posOffset>
                      </wp:positionH>
                      <wp:positionV relativeFrom="paragraph">
                        <wp:posOffset>25400</wp:posOffset>
                      </wp:positionV>
                      <wp:extent cx="2162175" cy="0"/>
                      <wp:effectExtent l="0" t="0" r="28575" b="19050"/>
                      <wp:wrapNone/>
                      <wp:docPr id="279050042" name="Straight Connector 5"/>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5" o:spid="_x0000_s1026" o:spt="20" style="position:absolute;left:0pt;margin-left:58.2pt;margin-top:2pt;height:0pt;width:170.25pt;z-index:251659264;mso-width-relative:page;mso-height-relative:page;" filled="f" stroked="t" coordsize="21600,21600" o:gfxdata="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VRK/29UAAAAHAQAADwAAAAAAAAAB&#10;ACAAAAAiAAAAZHJzL2Rvd25yZXYueG1sUEsBAhQAFAAAAAgAh07iQKkR+OvaAQAAvQMAAA4AAAAA&#10;AAAAAQAgAAAAJAEAAGRycy9lMm9Eb2MueG1sUEsFBgAAAAAGAAYAWQEAAHAFAAAAAA==&#10;">
                      <v:fill on="f" focussize="0,0"/>
                      <v:stroke weight="1pt" color="#000000 [3200]" miterlimit="8" joinstyle="miter"/>
                      <v:imagedata o:title=""/>
                      <o:lock v:ext="edit" aspectratio="f"/>
                    </v:line>
                  </w:pict>
                </mc:Fallback>
              </mc:AlternateContent>
            </w:r>
          </w:p>
        </w:tc>
      </w:tr>
      <w:tr w14:paraId="28F3DD2C">
        <w:tblPrEx>
          <w:tblCellMar>
            <w:top w:w="0" w:type="dxa"/>
            <w:left w:w="108" w:type="dxa"/>
            <w:bottom w:w="0" w:type="dxa"/>
            <w:right w:w="108" w:type="dxa"/>
          </w:tblCellMar>
        </w:tblPrEx>
        <w:trPr>
          <w:trHeight w:val="314" w:hRule="atLeast"/>
        </w:trPr>
        <w:tc>
          <w:tcPr>
            <w:tcW w:w="3515" w:type="dxa"/>
          </w:tcPr>
          <w:p w14:paraId="13D24EC0">
            <w:pPr>
              <w:spacing w:after="0" w:line="240" w:lineRule="auto"/>
              <w:ind w:firstLine="21"/>
              <w:jc w:val="center"/>
              <w:rPr>
                <w:rFonts w:ascii="Times New Roman" w:hAnsi="Times New Roman"/>
                <w:sz w:val="26"/>
                <w:szCs w:val="26"/>
                <w:lang w:val="nl-NL"/>
              </w:rPr>
            </w:pPr>
            <w:r>
              <w:rPr>
                <w:rFonts w:ascii="Times New Roman" w:hAnsi="Times New Roman" w:eastAsia="Times New Roman"/>
                <w:sz w:val="26"/>
                <w:lang w:val="vi-VN"/>
              </w:rPr>
              <w:t xml:space="preserve">     </w:t>
            </w:r>
            <w:r>
              <w:rPr>
                <w:rFonts w:ascii="Times New Roman" w:hAnsi="Times New Roman" w:eastAsia="Times New Roman"/>
                <w:sz w:val="26"/>
                <w:lang w:val="nl-NL"/>
              </w:rPr>
              <w:t>Số:             /2026/NQ-HĐND</w:t>
            </w:r>
          </w:p>
        </w:tc>
        <w:tc>
          <w:tcPr>
            <w:tcW w:w="5556" w:type="dxa"/>
          </w:tcPr>
          <w:p w14:paraId="0623DD77">
            <w:pPr>
              <w:keepNext/>
              <w:spacing w:after="0" w:line="240" w:lineRule="auto"/>
              <w:jc w:val="center"/>
              <w:outlineLvl w:val="0"/>
              <w:rPr>
                <w:rFonts w:ascii="Times New Roman" w:hAnsi="Times New Roman" w:eastAsia="Times New Roman"/>
                <w:i/>
                <w:szCs w:val="28"/>
                <w:lang w:val="nl-NL"/>
              </w:rPr>
            </w:pPr>
            <w:r>
              <w:rPr>
                <w:rFonts w:ascii="Times New Roman" w:hAnsi="Times New Roman" w:eastAsia="Times New Roman"/>
                <w:i/>
                <w:sz w:val="26"/>
                <w:lang w:val="nl-NL"/>
              </w:rPr>
              <w:t xml:space="preserve">             Hà Tĩnh, ngày </w:t>
            </w:r>
            <w:r>
              <w:rPr>
                <w:rFonts w:ascii="Times New Roman" w:hAnsi="Times New Roman" w:eastAsia="Times New Roman"/>
                <w:i/>
                <w:sz w:val="26"/>
                <w:lang w:val="vi-VN"/>
              </w:rPr>
              <w:t xml:space="preserve">   </w:t>
            </w:r>
            <w:r>
              <w:rPr>
                <w:rFonts w:ascii="Times New Roman" w:hAnsi="Times New Roman" w:eastAsia="Times New Roman"/>
                <w:i/>
                <w:sz w:val="26"/>
                <w:lang w:val="nl-NL"/>
              </w:rPr>
              <w:t xml:space="preserve"> tháng </w:t>
            </w:r>
            <w:r>
              <w:rPr>
                <w:rFonts w:ascii="Times New Roman" w:hAnsi="Times New Roman" w:eastAsia="Times New Roman"/>
                <w:i/>
                <w:sz w:val="26"/>
                <w:lang w:val="vi-VN"/>
              </w:rPr>
              <w:t xml:space="preserve">   </w:t>
            </w:r>
            <w:r>
              <w:rPr>
                <w:rFonts w:ascii="Times New Roman" w:hAnsi="Times New Roman" w:eastAsia="Times New Roman"/>
                <w:i/>
                <w:sz w:val="26"/>
                <w:lang w:val="nl-NL"/>
              </w:rPr>
              <w:t>năm 2026</w:t>
            </w:r>
          </w:p>
        </w:tc>
      </w:tr>
    </w:tbl>
    <w:p w14:paraId="2E78AAA4">
      <w:pPr>
        <w:pStyle w:val="16"/>
        <w:shd w:val="clear" w:color="auto" w:fill="FFFFFF"/>
        <w:spacing w:before="0" w:beforeAutospacing="0" w:after="0" w:afterAutospacing="0"/>
        <w:jc w:val="center"/>
        <w:rPr>
          <w:bCs/>
          <w:szCs w:val="28"/>
          <w:lang w:val="nl-NL"/>
        </w:rPr>
      </w:pPr>
    </w:p>
    <w:p w14:paraId="66371E42">
      <w:pPr>
        <w:pStyle w:val="16"/>
        <w:shd w:val="clear" w:color="auto" w:fill="FFFFFF"/>
        <w:spacing w:before="0" w:beforeAutospacing="0" w:after="0" w:afterAutospacing="0"/>
        <w:rPr>
          <w:b/>
          <w:szCs w:val="28"/>
          <w:lang w:val="nl-NL"/>
        </w:rPr>
      </w:pPr>
      <w:r>
        <w:rPr>
          <w:lang w:val="nl-NL"/>
        </w:rPr>
        <w:t xml:space="preserve">            </w:t>
      </w:r>
      <w:r>
        <w:rPr>
          <w:bdr w:val="single" w:color="auto" w:sz="4" w:space="0"/>
          <w:lang w:val="nl-NL"/>
        </w:rPr>
        <w:t>DỰ THẢO</w:t>
      </w:r>
    </w:p>
    <w:p w14:paraId="6B90AB28">
      <w:pPr>
        <w:pStyle w:val="16"/>
        <w:shd w:val="clear" w:color="auto" w:fill="FFFFFF"/>
        <w:spacing w:before="0" w:beforeAutospacing="0" w:after="0" w:afterAutospacing="0"/>
        <w:jc w:val="center"/>
        <w:rPr>
          <w:b/>
          <w:bCs/>
          <w:sz w:val="28"/>
          <w:szCs w:val="28"/>
          <w:lang w:val="nl-NL"/>
        </w:rPr>
      </w:pPr>
      <w:r>
        <w:rPr>
          <w:b/>
          <w:sz w:val="28"/>
          <w:szCs w:val="28"/>
          <w:lang w:val="nl-NL"/>
        </w:rPr>
        <w:t>NGHỊ QUYẾT</w:t>
      </w:r>
      <w:bookmarkEnd w:id="0"/>
    </w:p>
    <w:p w14:paraId="28030DED">
      <w:pPr>
        <w:pStyle w:val="16"/>
        <w:jc w:val="center"/>
        <w:rPr>
          <w:b/>
          <w:sz w:val="28"/>
          <w:szCs w:val="28"/>
        </w:rPr>
      </w:pPr>
      <w:bookmarkStart w:id="1" w:name="_hlk198537339"/>
      <w:r>
        <w:rPr>
          <w:b/>
          <w:i/>
          <w:iCs/>
          <w:sz w:val="28"/>
          <w:szCs w:val="28"/>
        </w:rPr>
        <mc:AlternateContent>
          <mc:Choice Requires="wps">
            <w:drawing>
              <wp:anchor distT="0" distB="0" distL="114300" distR="114300" simplePos="0" relativeHeight="251661312" behindDoc="0" locked="0" layoutInCell="1" allowOverlap="1">
                <wp:simplePos x="0" y="0"/>
                <wp:positionH relativeFrom="column">
                  <wp:posOffset>2122805</wp:posOffset>
                </wp:positionH>
                <wp:positionV relativeFrom="paragraph">
                  <wp:posOffset>838835</wp:posOffset>
                </wp:positionV>
                <wp:extent cx="1539240" cy="0"/>
                <wp:effectExtent l="0" t="0" r="0" b="0"/>
                <wp:wrapNone/>
                <wp:docPr id="1101602988" name="Straight Connector 7"/>
                <wp:cNvGraphicFramePr/>
                <a:graphic xmlns:a="http://schemas.openxmlformats.org/drawingml/2006/main">
                  <a:graphicData uri="http://schemas.microsoft.com/office/word/2010/wordprocessingShape">
                    <wps:wsp>
                      <wps:cNvCnPr/>
                      <wps:spPr>
                        <a:xfrm>
                          <a:off x="0" y="0"/>
                          <a:ext cx="1539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o:spt="20" style="position:absolute;left:0pt;margin-left:167.15pt;margin-top:66.05pt;height:0pt;width:121.2pt;z-index:251661312;mso-width-relative:page;mso-height-relative:page;" filled="f" stroked="t" coordsize="21600,21600" o:gfxdata="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drobrXAAAACwEAAA8AAAAAAAAA&#10;AQAgAAAAIgAAAGRycy9kb3ducmV2LnhtbFBLAQIUABQAAAAIAIdO4kB2jiYr2QEAAL0DAAAOAAAA&#10;AAAAAAEAIAAAACYBAABkcnMvZTJvRG9jLnhtbFBLBQYAAAAABgAGAFkBAABxBQAAAAA=&#10;">
                <v:fill on="f" focussize="0,0"/>
                <v:stroke weight="0.5pt" color="#000000 [3200]" miterlimit="8" joinstyle="miter"/>
                <v:imagedata o:title=""/>
                <o:lock v:ext="edit" aspectratio="f"/>
              </v:line>
            </w:pict>
          </mc:Fallback>
        </mc:AlternateContent>
      </w:r>
      <w:r>
        <w:rPr>
          <w:b/>
          <w:sz w:val="28"/>
          <w:szCs w:val="28"/>
        </w:rPr>
        <w:t>Quy định chính sách hỗ trợ cán bộ, công chức, viên chức được luân chuyển, điều động, biệt phái đến công tác tại cơ sở, địa bàn, vị trí cần tăng cường nhân lực trên địa bàn tỉnh Hà Tĩnh</w:t>
      </w:r>
    </w:p>
    <w:p w14:paraId="183A0242">
      <w:pPr>
        <w:pStyle w:val="16"/>
        <w:shd w:val="clear" w:color="auto" w:fill="FFFFFF"/>
        <w:spacing w:before="0" w:beforeAutospacing="0" w:after="0" w:afterAutospacing="0"/>
        <w:jc w:val="center"/>
        <w:rPr>
          <w:i/>
          <w:iCs/>
          <w:sz w:val="28"/>
          <w:szCs w:val="28"/>
          <w:lang w:val="vi-VN"/>
        </w:rPr>
      </w:pPr>
    </w:p>
    <w:bookmarkEnd w:id="1"/>
    <w:p w14:paraId="04756A8F">
      <w:pPr>
        <w:pStyle w:val="16"/>
        <w:spacing w:before="120" w:beforeAutospacing="0" w:after="120" w:afterAutospacing="0"/>
        <w:ind w:firstLine="709"/>
        <w:jc w:val="both"/>
        <w:rPr>
          <w:i/>
          <w:sz w:val="28"/>
          <w:szCs w:val="28"/>
        </w:rPr>
      </w:pPr>
      <w:r>
        <w:rPr>
          <w:i/>
          <w:sz w:val="28"/>
          <w:szCs w:val="28"/>
        </w:rPr>
        <w:t>Căn cứ Luật Tổ chức chính quyền địa phương số 72/2025/QH15;</w:t>
      </w:r>
    </w:p>
    <w:p w14:paraId="2785957D">
      <w:pPr>
        <w:pStyle w:val="16"/>
        <w:spacing w:before="120" w:beforeAutospacing="0" w:after="120" w:afterAutospacing="0"/>
        <w:ind w:firstLine="709"/>
        <w:jc w:val="both"/>
        <w:rPr>
          <w:i/>
          <w:sz w:val="28"/>
          <w:szCs w:val="28"/>
        </w:rPr>
      </w:pPr>
      <w:r>
        <w:rPr>
          <w:i/>
          <w:sz w:val="28"/>
          <w:szCs w:val="28"/>
        </w:rPr>
        <w:t>Căn cứ Luật Ban hành văn bản quy phạm pháp luật số 64/2025/QH15 được sửa đổi, bổ sung bởi Luật số 87/2025/QH15;</w:t>
      </w:r>
    </w:p>
    <w:p w14:paraId="4AC4B653">
      <w:pPr>
        <w:pStyle w:val="16"/>
        <w:spacing w:before="120" w:beforeAutospacing="0" w:after="120" w:afterAutospacing="0"/>
        <w:ind w:firstLine="709"/>
        <w:jc w:val="both"/>
        <w:rPr>
          <w:i/>
          <w:sz w:val="28"/>
          <w:szCs w:val="28"/>
        </w:rPr>
      </w:pPr>
      <w:r>
        <w:rPr>
          <w:i/>
          <w:sz w:val="28"/>
          <w:szCs w:val="28"/>
        </w:rPr>
        <w:t>Căn cứ Luật Ngân sách nhà nước số 89/2025/QH15;</w:t>
      </w:r>
    </w:p>
    <w:p w14:paraId="779366CA">
      <w:pPr>
        <w:pStyle w:val="16"/>
        <w:spacing w:before="120" w:beforeAutospacing="0" w:after="120" w:afterAutospacing="0"/>
        <w:ind w:firstLine="709"/>
        <w:jc w:val="both"/>
        <w:rPr>
          <w:i/>
          <w:sz w:val="28"/>
          <w:szCs w:val="28"/>
        </w:rPr>
      </w:pPr>
      <w:r>
        <w:rPr>
          <w:i/>
          <w:sz w:val="28"/>
          <w:szCs w:val="28"/>
        </w:rPr>
        <w:t>Căn cứ Luật Cán bộ, công chức số 80/2025/QH15;</w:t>
      </w:r>
    </w:p>
    <w:p w14:paraId="6CDB4F03">
      <w:pPr>
        <w:pStyle w:val="16"/>
        <w:spacing w:before="120" w:beforeAutospacing="0" w:after="120" w:afterAutospacing="0"/>
        <w:ind w:firstLine="709"/>
        <w:jc w:val="both"/>
        <w:rPr>
          <w:i/>
          <w:sz w:val="28"/>
          <w:szCs w:val="28"/>
        </w:rPr>
      </w:pPr>
      <w:r>
        <w:rPr>
          <w:i/>
          <w:sz w:val="28"/>
          <w:szCs w:val="28"/>
        </w:rPr>
        <w:t>Căn cứ Luật Viên chức số 129/2025/QH15;</w:t>
      </w:r>
    </w:p>
    <w:p w14:paraId="34731B34">
      <w:pPr>
        <w:pStyle w:val="16"/>
        <w:spacing w:before="120" w:beforeAutospacing="0" w:after="120" w:afterAutospacing="0"/>
        <w:ind w:firstLine="709"/>
        <w:jc w:val="both"/>
        <w:rPr>
          <w:i/>
          <w:sz w:val="28"/>
          <w:szCs w:val="28"/>
        </w:rPr>
      </w:pPr>
      <w:r>
        <w:rPr>
          <w:i/>
          <w:sz w:val="28"/>
          <w:szCs w:val="28"/>
        </w:rPr>
        <w:t>Căn cứ Luật Nhà giáo số 73/2025/QH15;</w:t>
      </w:r>
    </w:p>
    <w:p w14:paraId="3EE77022">
      <w:pPr>
        <w:pStyle w:val="16"/>
        <w:spacing w:before="120" w:beforeAutospacing="0" w:after="120" w:afterAutospacing="0"/>
        <w:ind w:firstLine="709"/>
        <w:jc w:val="both"/>
        <w:rPr>
          <w:i/>
          <w:sz w:val="28"/>
          <w:szCs w:val="28"/>
        </w:rPr>
      </w:pPr>
      <w:r>
        <w:rPr>
          <w:i/>
          <w:sz w:val="28"/>
          <w:szCs w:val="28"/>
        </w:rPr>
        <w:t>Căn cứ Nghị định số 73/2026/NĐ-CP ngày 10 tháng 3 năm 2026 của Chính phủ quy định chi tiết và hướng dẫn thi hành một số điều của Luật Ngân sách nhà nước;</w:t>
      </w:r>
    </w:p>
    <w:p w14:paraId="4FC5A4D0">
      <w:pPr>
        <w:spacing w:before="120" w:after="120" w:line="240" w:lineRule="auto"/>
        <w:ind w:firstLine="709"/>
        <w:jc w:val="both"/>
        <w:rPr>
          <w:rFonts w:ascii="Times New Roman" w:hAnsi="Times New Roman"/>
          <w:i/>
          <w:sz w:val="28"/>
          <w:szCs w:val="28"/>
          <w:lang w:val="vi-VN"/>
        </w:rPr>
      </w:pPr>
      <w:r>
        <w:rPr>
          <w:rFonts w:ascii="Times New Roman" w:hAnsi="Times New Roman" w:eastAsia="Times New Roman"/>
          <w:i/>
          <w:sz w:val="28"/>
          <w:szCs w:val="28"/>
          <w:lang w:val="vi-VN"/>
        </w:rPr>
        <w:t>Xét Tờ trình số    /TTr-UBND ngày   tháng  năm 2026 của Ủy ban nhân dân tỉnh về việc đề nghị ban hành Nghị quyết quy định chính sách hỗ trợ cán bộ, công chức, viên chức được luân chuyển, điều động, biệt phái đến công tác tại cơ sở, địa bàn, vị trí cần tăng cường nhân lực trên địa bàn tỉnh Hà Tĩnh; Báo cáo thẩm tra số /BC-HĐND ngày   tháng  năm 2026 của Ban Pháp chế Hội đồng nhân dân tỉnh và ý kiến thảo luận, biểu quyết của các đại biểu Hội đồng nhân dân tỉnh tại Kỳ họp;</w:t>
      </w:r>
    </w:p>
    <w:p w14:paraId="6C509EF2">
      <w:pPr>
        <w:spacing w:before="120" w:after="120" w:line="240" w:lineRule="auto"/>
        <w:ind w:firstLine="709"/>
        <w:jc w:val="both"/>
        <w:rPr>
          <w:rFonts w:ascii="Times New Roman" w:hAnsi="Times New Roman"/>
          <w:i/>
          <w:sz w:val="28"/>
          <w:szCs w:val="28"/>
          <w:lang w:val="vi-VN"/>
        </w:rPr>
      </w:pPr>
      <w:r>
        <w:rPr>
          <w:rFonts w:ascii="Times New Roman" w:hAnsi="Times New Roman" w:eastAsia="Times New Roman"/>
          <w:i/>
          <w:sz w:val="28"/>
          <w:szCs w:val="28"/>
          <w:lang w:val="vi-VN"/>
        </w:rPr>
        <w:t xml:space="preserve">Hội đồng nhân dân tỉnh ban hành Nghị quyết quy định </w:t>
      </w:r>
      <w:r>
        <w:rPr>
          <w:rFonts w:ascii="Times New Roman" w:hAnsi="Times New Roman" w:eastAsia="Times New Roman"/>
          <w:i/>
          <w:sz w:val="28"/>
          <w:szCs w:val="28"/>
        </w:rPr>
        <w:t>chính sách hỗ trợ cán bộ, công chức, viên chức được luân chuyển, điều động, biệt phái đến công tác tại cơ sở, địa bàn, vị trí cần tăng cường nhân lực trên địa bàn tỉnh Hà Tĩnh</w:t>
      </w:r>
      <w:r>
        <w:rPr>
          <w:rFonts w:ascii="Times New Roman" w:hAnsi="Times New Roman" w:eastAsia="Times New Roman"/>
          <w:i/>
          <w:sz w:val="28"/>
          <w:szCs w:val="28"/>
          <w:lang w:val="vi-VN"/>
        </w:rPr>
        <w:t>.</w:t>
      </w:r>
    </w:p>
    <w:p w14:paraId="6BEE8C84">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1. Phạm vi điều chỉnh</w:t>
      </w:r>
    </w:p>
    <w:p w14:paraId="3991A5A8">
      <w:pPr>
        <w:pStyle w:val="16"/>
        <w:spacing w:before="120" w:beforeAutospacing="0" w:after="120" w:afterAutospacing="0"/>
        <w:ind w:firstLine="709"/>
        <w:jc w:val="both"/>
        <w:rPr>
          <w:sz w:val="28"/>
          <w:szCs w:val="28"/>
        </w:rPr>
      </w:pPr>
      <w:r>
        <w:rPr>
          <w:sz w:val="28"/>
          <w:szCs w:val="28"/>
        </w:rPr>
        <w:t>Nghị quyết này quy định chính sách hỗ trợ chi phí đi lại, thuê nhà ở và hỗ trợ một lần đối với cán bộ, công chức, viên chức được cơ quan, tổ chức có thẩm quyền quyết định luân chuyển, điều động, biệt phái đến công tác tại cơ sở, địa bàn, vị trí cần tăng cường nhân lực trên địa bàn tỉnh Hà Tĩnh; điều kiện, mức hỗ trợ, thời gian hưởng, nguồn kinh phí và trách nhiệm tổ chức thực hiện.</w:t>
      </w:r>
    </w:p>
    <w:p w14:paraId="238CE1B2">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2. Đối tượng áp dụng</w:t>
      </w:r>
    </w:p>
    <w:p w14:paraId="6EBB1DF6">
      <w:pPr>
        <w:pStyle w:val="16"/>
        <w:spacing w:before="120" w:beforeAutospacing="0" w:after="120" w:afterAutospacing="0"/>
        <w:ind w:firstLine="709"/>
        <w:jc w:val="both"/>
        <w:rPr>
          <w:sz w:val="28"/>
          <w:szCs w:val="28"/>
        </w:rPr>
      </w:pPr>
      <w:r>
        <w:rPr>
          <w:sz w:val="28"/>
          <w:szCs w:val="28"/>
        </w:rPr>
        <w:t>1. Cán bộ, công chức thuộc các cơ quan của Đảng Cộng sản Việt Nam, Mặt trận Tổ quốc Việt Nam, các tổ chức chính trị - xã hội, cơ quan nhà nước thuộc phạm vi quản lý của tỉnh Hà Tĩnh được luân chuyển, điều động, biệt phái theo quyết định của cơ quan, tổ chức có thẩm quyền.</w:t>
      </w:r>
    </w:p>
    <w:p w14:paraId="1B795E54">
      <w:pPr>
        <w:pStyle w:val="16"/>
        <w:spacing w:before="120" w:beforeAutospacing="0" w:after="120" w:afterAutospacing="0"/>
        <w:ind w:firstLine="709"/>
        <w:jc w:val="both"/>
        <w:rPr>
          <w:sz w:val="28"/>
          <w:szCs w:val="28"/>
        </w:rPr>
      </w:pPr>
      <w:r>
        <w:rPr>
          <w:sz w:val="28"/>
          <w:szCs w:val="28"/>
        </w:rPr>
        <w:t>2. Viên chức thuộc các đơn vị sự nghiệp công lập thuộc phạm vi quản lý của tỉnh Hà Tĩnh được điều động, biệt phái theo quy định của pháp luật; trong đó bao gồm nhà giáo tại các cơ sở giáo dục công lập được điều động, biệt phái theo quy định của pháp luật về nhà giáo và pháp luật có liên quan.</w:t>
      </w:r>
    </w:p>
    <w:p w14:paraId="1A248F04">
      <w:pPr>
        <w:pStyle w:val="16"/>
        <w:spacing w:before="120" w:beforeAutospacing="0" w:after="120" w:afterAutospacing="0"/>
        <w:ind w:firstLine="709"/>
        <w:jc w:val="both"/>
        <w:rPr>
          <w:sz w:val="28"/>
          <w:szCs w:val="28"/>
        </w:rPr>
      </w:pPr>
      <w:r>
        <w:rPr>
          <w:sz w:val="28"/>
          <w:szCs w:val="28"/>
        </w:rPr>
        <w:t>3. Các cơ quan, tổ chức, đơn vị, địa phương và cá nhân có liên quan đến việc quản lý, xét duyệt, chi trả và quyết toán kinh phí thực hiện chính sách.</w:t>
      </w:r>
    </w:p>
    <w:p w14:paraId="078F3F68">
      <w:pPr>
        <w:pStyle w:val="16"/>
        <w:spacing w:before="120" w:beforeAutospacing="0" w:after="120" w:afterAutospacing="0"/>
        <w:ind w:firstLine="709"/>
        <w:jc w:val="both"/>
        <w:rPr>
          <w:sz w:val="28"/>
          <w:szCs w:val="28"/>
        </w:rPr>
      </w:pPr>
      <w:r>
        <w:rPr>
          <w:sz w:val="28"/>
          <w:szCs w:val="28"/>
        </w:rPr>
        <w:t>4. Nghị quyết không áp dụng đối với:</w:t>
      </w:r>
    </w:p>
    <w:p w14:paraId="1D80400A">
      <w:pPr>
        <w:spacing w:before="120" w:after="120" w:line="240" w:lineRule="auto"/>
        <w:ind w:firstLine="709"/>
        <w:jc w:val="both"/>
        <w:rPr>
          <w:rFonts w:ascii="Times New Roman" w:hAnsi="Times New Roman" w:eastAsia="Times New Roman"/>
          <w:sz w:val="28"/>
          <w:szCs w:val="28"/>
        </w:rPr>
      </w:pPr>
      <w:r>
        <w:rPr>
          <w:rFonts w:ascii="Times New Roman" w:hAnsi="Times New Roman" w:eastAsia="Times New Roman"/>
          <w:sz w:val="28"/>
          <w:szCs w:val="28"/>
        </w:rPr>
        <w:t>a) Người thuộc cơ quan, tổ chức, đơn vị của Trung ương đóng trên địa bàn tỉnh;</w:t>
      </w:r>
    </w:p>
    <w:p w14:paraId="5C258F81">
      <w:pPr>
        <w:spacing w:before="120" w:after="120" w:line="240" w:lineRule="auto"/>
        <w:ind w:firstLine="709"/>
        <w:jc w:val="both"/>
        <w:rPr>
          <w:rFonts w:ascii="Times New Roman" w:hAnsi="Times New Roman" w:eastAsia="Times New Roman"/>
          <w:sz w:val="28"/>
          <w:szCs w:val="28"/>
        </w:rPr>
      </w:pPr>
      <w:r>
        <w:rPr>
          <w:rFonts w:ascii="Times New Roman" w:hAnsi="Times New Roman" w:eastAsia="Times New Roman"/>
          <w:sz w:val="28"/>
          <w:szCs w:val="28"/>
        </w:rPr>
        <w:t>b) Người được tuyển dụng mới; người được tiếp nhận, chuyển công tác theo nguyện vọng cá nhân, không xuất phát từ yêu cầu luân chuyển, điều động, biệt phái để tăng cường nhân lực theo quyết định của cơ quan, người có thẩm quyền;</w:t>
      </w:r>
    </w:p>
    <w:p w14:paraId="27FF39D5">
      <w:pPr>
        <w:spacing w:before="120" w:after="120" w:line="240" w:lineRule="auto"/>
        <w:ind w:firstLine="709"/>
        <w:jc w:val="both"/>
        <w:rPr>
          <w:rFonts w:ascii="Times New Roman" w:hAnsi="Times New Roman" w:eastAsia="Times New Roman"/>
          <w:sz w:val="28"/>
          <w:szCs w:val="28"/>
        </w:rPr>
      </w:pPr>
      <w:r>
        <w:rPr>
          <w:rFonts w:ascii="Times New Roman" w:hAnsi="Times New Roman" w:eastAsia="Times New Roman"/>
          <w:sz w:val="28"/>
          <w:szCs w:val="28"/>
        </w:rPr>
        <w:t>c) Người được luân chuyển, điều động, biệt phái nhưng không thuộc trường hợp tăng cường nhân lực quy định tại Điều 4 Nghị quyết này.</w:t>
      </w:r>
    </w:p>
    <w:p w14:paraId="055A5E6C">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3. Nguyên tắc thực hiện chính sách</w:t>
      </w:r>
    </w:p>
    <w:p w14:paraId="76E517FE">
      <w:pPr>
        <w:pStyle w:val="16"/>
        <w:spacing w:before="120" w:beforeAutospacing="0" w:after="120" w:afterAutospacing="0"/>
        <w:ind w:firstLine="709"/>
        <w:jc w:val="both"/>
        <w:rPr>
          <w:sz w:val="28"/>
          <w:szCs w:val="28"/>
        </w:rPr>
      </w:pPr>
      <w:r>
        <w:rPr>
          <w:sz w:val="28"/>
          <w:szCs w:val="28"/>
        </w:rPr>
        <w:t>1. Việc hỗ trợ phải gắn với nhu cầu tăng cường nhân lực thực tế, yêu cầu nhiệm vụ, vị trí việc làm tại cơ quan, tổ chức, đơn vị, địa phương tiếp nhận nhân sự.</w:t>
      </w:r>
    </w:p>
    <w:p w14:paraId="4DD66568">
      <w:pPr>
        <w:pStyle w:val="16"/>
        <w:spacing w:before="120" w:beforeAutospacing="0" w:after="120" w:afterAutospacing="0"/>
        <w:ind w:firstLine="709"/>
        <w:jc w:val="both"/>
        <w:rPr>
          <w:sz w:val="28"/>
          <w:szCs w:val="28"/>
        </w:rPr>
      </w:pPr>
      <w:r>
        <w:rPr>
          <w:sz w:val="28"/>
          <w:szCs w:val="28"/>
        </w:rPr>
        <w:t>2. Ưu tiên rà soát, sắp xếp, bố trí, sử dụng hiệu quả nguồn nhân lực hiện có; chỉ thực hiện chính sách hỗ trợ đối với trường hợp cần huy động nhân lực từ cơ quan, đơn vị, địa bàn khác để đáp ứng nhu cầu tăng cường nhân lực quy định tại Điều 4 Nghị quyết này.</w:t>
      </w:r>
    </w:p>
    <w:p w14:paraId="34FD239E">
      <w:pPr>
        <w:pStyle w:val="16"/>
        <w:spacing w:before="120" w:beforeAutospacing="0" w:after="120" w:afterAutospacing="0"/>
        <w:ind w:firstLine="709"/>
        <w:jc w:val="both"/>
        <w:rPr>
          <w:sz w:val="28"/>
          <w:szCs w:val="28"/>
        </w:rPr>
      </w:pPr>
      <w:r>
        <w:rPr>
          <w:sz w:val="28"/>
          <w:szCs w:val="28"/>
        </w:rPr>
        <w:t>3. Việc luân chuyển, điều động, biệt phái phải đúng thẩm quyền, trình tự, thủ tục và quy định của Đảng, pháp luật của Nhà nước.</w:t>
      </w:r>
    </w:p>
    <w:p w14:paraId="6E4C4042">
      <w:pPr>
        <w:pStyle w:val="16"/>
        <w:spacing w:before="120" w:beforeAutospacing="0" w:after="120" w:afterAutospacing="0"/>
        <w:ind w:firstLine="709"/>
        <w:jc w:val="both"/>
        <w:rPr>
          <w:sz w:val="28"/>
          <w:szCs w:val="28"/>
        </w:rPr>
      </w:pPr>
      <w:r>
        <w:rPr>
          <w:sz w:val="28"/>
          <w:szCs w:val="28"/>
        </w:rPr>
        <w:t>4. Bảo đảm công khai, minh bạch, công bằng giữa các đối tượng có cùng điều kiện hưởng; mức hỗ trợ căn cứ vào chi phí phát sinh, khoảng cách đi lại, điều kiện bố trí chỗ ở và thời gian thực tế công tác.</w:t>
      </w:r>
    </w:p>
    <w:p w14:paraId="7E4A1856">
      <w:pPr>
        <w:pStyle w:val="16"/>
        <w:spacing w:before="120" w:beforeAutospacing="0" w:after="120" w:afterAutospacing="0"/>
        <w:ind w:firstLine="709"/>
        <w:jc w:val="both"/>
        <w:rPr>
          <w:sz w:val="28"/>
          <w:szCs w:val="28"/>
        </w:rPr>
      </w:pPr>
      <w:r>
        <w:rPr>
          <w:sz w:val="28"/>
          <w:szCs w:val="28"/>
        </w:rPr>
        <w:t>5. Việc hưởng các chế độ, chính sách do cơ quan nhà nước cấp trên quy định thực hiện theo quy định của pháp luật. Không thực hiện hỗ trợ theo Nghị quyết này đối với nội dung chi đã được hỗ trợ theo chính sách khác cho cùng một đối tượng, cùng thời gian hoặc cùng lần phát sinh chi phí đã được thanh toán theo chế độ, chính sách khác. Trường hợp các khoản hỗ trợ có nội dung chi khác nhau thì được hưởng theo điều kiện của từng chính sách.</w:t>
      </w:r>
    </w:p>
    <w:p w14:paraId="7B949EE3">
      <w:pPr>
        <w:pStyle w:val="16"/>
        <w:spacing w:before="120" w:beforeAutospacing="0" w:after="120" w:afterAutospacing="0"/>
        <w:ind w:firstLine="709"/>
        <w:jc w:val="both"/>
        <w:rPr>
          <w:sz w:val="28"/>
          <w:szCs w:val="28"/>
        </w:rPr>
      </w:pPr>
      <w:r>
        <w:rPr>
          <w:sz w:val="28"/>
          <w:szCs w:val="28"/>
        </w:rPr>
        <w:t>6. Kinh phí thực hiện chính sách phải bảo đảm trong phạm vi khả năng cân đối ngân sách địa phương và được quản lý, sử dụng, quyết toán theo quy định.</w:t>
      </w:r>
    </w:p>
    <w:p w14:paraId="0FA07037">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4. Xác định cơ sở, địa bàn, vị trí cần tăng cường nhân lực</w:t>
      </w:r>
    </w:p>
    <w:p w14:paraId="18FDAA4D">
      <w:pPr>
        <w:pStyle w:val="16"/>
        <w:spacing w:before="120" w:beforeAutospacing="0" w:after="120" w:afterAutospacing="0"/>
        <w:ind w:firstLine="709"/>
        <w:jc w:val="both"/>
        <w:rPr>
          <w:sz w:val="28"/>
          <w:szCs w:val="28"/>
        </w:rPr>
      </w:pPr>
      <w:r>
        <w:rPr>
          <w:sz w:val="28"/>
          <w:szCs w:val="28"/>
        </w:rPr>
        <w:t>1. Địa bàn, vị trí cần tăng cường nhân lực là cơ quan, tổ chức, đơn vị, địa phương hoặc vị trí việc làm có nhu cầu bổ sung nhân lực để thực hiện nhiệm vụ, thuộc một trong các trường hợp sau đây:</w:t>
      </w:r>
    </w:p>
    <w:p w14:paraId="567B07EA">
      <w:pPr>
        <w:pStyle w:val="16"/>
        <w:spacing w:before="120" w:beforeAutospacing="0" w:after="120" w:afterAutospacing="0"/>
        <w:ind w:firstLine="709"/>
        <w:jc w:val="both"/>
        <w:rPr>
          <w:sz w:val="28"/>
          <w:szCs w:val="28"/>
        </w:rPr>
      </w:pPr>
      <w:r>
        <w:rPr>
          <w:sz w:val="28"/>
          <w:szCs w:val="28"/>
        </w:rPr>
        <w:t>a) Thiếu nhân lực so với số lượng biên chế được giao, số lượng người làm việc được cấp có thẩm quyền phê duyệt hoặc định mức chuyên ngành, ảnh hưởng đến khả năng thực hiện nhiệm vụ;</w:t>
      </w:r>
    </w:p>
    <w:p w14:paraId="48EB81D6">
      <w:pPr>
        <w:pStyle w:val="16"/>
        <w:spacing w:before="120" w:beforeAutospacing="0" w:after="120" w:afterAutospacing="0"/>
        <w:ind w:firstLine="709"/>
        <w:jc w:val="both"/>
        <w:rPr>
          <w:sz w:val="28"/>
          <w:szCs w:val="28"/>
        </w:rPr>
      </w:pPr>
      <w:r>
        <w:rPr>
          <w:sz w:val="28"/>
          <w:szCs w:val="28"/>
        </w:rPr>
        <w:t>b) Không thiếu về tổng số lượng nhưng thiếu nhân lực có chuyên môn, nghiệp vụ, năng lực phù hợp với vị trí việc làm hoặc nhiệm vụ được giao;</w:t>
      </w:r>
    </w:p>
    <w:p w14:paraId="0DE0C2D1">
      <w:pPr>
        <w:pStyle w:val="16"/>
        <w:spacing w:before="120" w:beforeAutospacing="0" w:after="120" w:afterAutospacing="0"/>
        <w:ind w:firstLine="709"/>
        <w:jc w:val="both"/>
        <w:rPr>
          <w:sz w:val="28"/>
          <w:szCs w:val="28"/>
        </w:rPr>
      </w:pPr>
      <w:r>
        <w:rPr>
          <w:sz w:val="28"/>
          <w:szCs w:val="28"/>
        </w:rPr>
        <w:t>c) Phát sinh nhiệm vụ mới, nhiệm vụ trọng tâm, cấp bách, đột xuất hoặc nhiệm vụ có khối lượng công việc tăng cao, cần tăng cường nhân lực;</w:t>
      </w:r>
    </w:p>
    <w:p w14:paraId="029E77C3">
      <w:pPr>
        <w:pStyle w:val="16"/>
        <w:spacing w:before="120" w:beforeAutospacing="0" w:after="120" w:afterAutospacing="0"/>
        <w:ind w:firstLine="709"/>
        <w:jc w:val="both"/>
        <w:rPr>
          <w:sz w:val="28"/>
          <w:szCs w:val="28"/>
        </w:rPr>
      </w:pPr>
      <w:r>
        <w:rPr>
          <w:sz w:val="28"/>
          <w:szCs w:val="28"/>
        </w:rPr>
        <w:t>d) Thuộc lĩnh vực chuyên môn đặc thù, chuyên sâu, khó bố trí nhân lực phù hợp mà việc thiếu nhân lực ảnh hưởng trực tiếp đến tiến độ, chất lượng thực hiện nhiệm vụ được giao.</w:t>
      </w:r>
    </w:p>
    <w:p w14:paraId="14653149">
      <w:pPr>
        <w:pStyle w:val="16"/>
        <w:spacing w:before="120" w:beforeAutospacing="0" w:after="120" w:afterAutospacing="0"/>
        <w:ind w:firstLine="709"/>
        <w:jc w:val="both"/>
        <w:rPr>
          <w:sz w:val="28"/>
          <w:szCs w:val="28"/>
        </w:rPr>
      </w:pPr>
      <w:r>
        <w:rPr>
          <w:sz w:val="28"/>
          <w:szCs w:val="28"/>
        </w:rPr>
        <w:t>2. Nhu cầu tăng cường nhân lực phải được xác định trên cơ sở tình hình biên chế, số lượng người làm việc, cơ cấu vị trí việc làm, khối lượng công việc, yêu cầu chuyên môn và khả năng bố trí, sử dụng nhân lực hiện có của cơ quan, tổ chức, đơn vị, địa phương tiếp nhận; được xem xét trong quá trình quyết định luân chuyển, điều động, biệt phái của cơ quan, người có thẩm quyền.</w:t>
      </w:r>
    </w:p>
    <w:p w14:paraId="09206EE7">
      <w:pPr>
        <w:pStyle w:val="16"/>
        <w:spacing w:before="120" w:beforeAutospacing="0" w:after="120" w:afterAutospacing="0"/>
        <w:ind w:firstLine="709"/>
        <w:jc w:val="both"/>
        <w:rPr>
          <w:sz w:val="28"/>
          <w:szCs w:val="28"/>
        </w:rPr>
      </w:pPr>
      <w:r>
        <w:rPr>
          <w:sz w:val="28"/>
          <w:szCs w:val="28"/>
        </w:rPr>
        <w:t xml:space="preserve">3. Quyết định luân chuyển, điều động, biệt phái của cơ quan, người có thẩm quyền là căn cứ xác định việc bố trí nhân sự đến công tác. Cơ quan, tổ chức, đơn vị tiếp nhận có trách nhiệm xác định việc đáp ứng các tiêu chí quy định tại khoản 1 Điều này khi thực hiện chính sách; không yêu cầu phê duyệt riêng kế hoạch, phương án hoặc văn bản xác nhận nhu cầu tăng cường nhân lực để giải quyết chính sách. Cơ quan, tổ chức, đơn vị tiếp nhận có trách nhiệm lưu giữ thông tin, tài liệu làm căn cứ xác định nhu cầu tăng cường nhân lực, bảo đảm phục vụ công tác kiểm tra, thanh tra và quyết toán kinh phí. </w:t>
      </w:r>
    </w:p>
    <w:p w14:paraId="3C4B52EF">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5. Điều kiện được hưởng chính sách</w:t>
      </w:r>
    </w:p>
    <w:p w14:paraId="30B96B73">
      <w:pPr>
        <w:pStyle w:val="16"/>
        <w:spacing w:before="120" w:beforeAutospacing="0" w:after="120" w:afterAutospacing="0"/>
        <w:ind w:firstLine="709"/>
        <w:jc w:val="both"/>
        <w:rPr>
          <w:sz w:val="28"/>
          <w:szCs w:val="28"/>
        </w:rPr>
      </w:pPr>
      <w:r>
        <w:rPr>
          <w:sz w:val="28"/>
          <w:szCs w:val="28"/>
        </w:rPr>
        <w:t>1. Thuộc đối tượng quy định tại khoản 1 hoặc khoản 2 Điều 2 Nghị quyết này.</w:t>
      </w:r>
    </w:p>
    <w:p w14:paraId="545BDF56">
      <w:pPr>
        <w:pStyle w:val="16"/>
        <w:spacing w:before="120" w:beforeAutospacing="0" w:after="120" w:afterAutospacing="0"/>
        <w:ind w:firstLine="709"/>
        <w:jc w:val="both"/>
        <w:rPr>
          <w:sz w:val="28"/>
          <w:szCs w:val="28"/>
        </w:rPr>
      </w:pPr>
      <w:r>
        <w:rPr>
          <w:sz w:val="28"/>
          <w:szCs w:val="28"/>
        </w:rPr>
        <w:t>2. Có quyết định luân chuyển, điều động, biệt phái của cơ quan, người có thẩm quyền đến công tác tại cơ quan, tổ chức, đơn vị, địa phương có nhu cầu tăng cường nhân lực theo quy định tại Điều 4 Nghị quyết này.</w:t>
      </w:r>
    </w:p>
    <w:p w14:paraId="6393C7CC">
      <w:pPr>
        <w:pStyle w:val="16"/>
        <w:spacing w:before="120" w:beforeAutospacing="0" w:after="120" w:afterAutospacing="0"/>
        <w:ind w:firstLine="709"/>
        <w:jc w:val="both"/>
        <w:rPr>
          <w:sz w:val="28"/>
          <w:szCs w:val="28"/>
        </w:rPr>
      </w:pPr>
      <w:r>
        <w:rPr>
          <w:sz w:val="28"/>
          <w:szCs w:val="28"/>
        </w:rPr>
        <w:t>3. Có thay đổi địa điểm làm việc so với trước khi luân chuyển, điều động, biệt phái và khoảng cách từ nơi thường trú của người được luân chuyển, điều động, biệt phái tại thời điểm trước khi nhận nhiệm vụ đến trụ sở làm việc mới từ 15 km trở lên, được xác định theo tuyến đường bộ ngắn nhất phù hợp với điều kiện giao thông thực tế, có thể sử dụng để đi lại.</w:t>
      </w:r>
    </w:p>
    <w:p w14:paraId="3764C9FB">
      <w:pPr>
        <w:pStyle w:val="16"/>
        <w:spacing w:before="120" w:beforeAutospacing="0" w:after="120" w:afterAutospacing="0"/>
        <w:ind w:firstLine="709"/>
        <w:jc w:val="both"/>
        <w:rPr>
          <w:sz w:val="28"/>
          <w:szCs w:val="28"/>
        </w:rPr>
      </w:pPr>
      <w:r>
        <w:rPr>
          <w:sz w:val="28"/>
          <w:szCs w:val="28"/>
        </w:rPr>
        <w:t>4. Đã thực tế nhận nhiệm vụ và làm việc tại cơ quan, tổ chức, đơn vị, địa phương được tăng cường nhân lực.</w:t>
      </w:r>
    </w:p>
    <w:p w14:paraId="30A5791A">
      <w:pPr>
        <w:pStyle w:val="16"/>
        <w:spacing w:before="120" w:beforeAutospacing="0" w:after="120" w:afterAutospacing="0"/>
        <w:ind w:firstLine="709"/>
        <w:jc w:val="both"/>
        <w:rPr>
          <w:sz w:val="28"/>
          <w:szCs w:val="28"/>
        </w:rPr>
      </w:pPr>
      <w:r>
        <w:rPr>
          <w:sz w:val="28"/>
          <w:szCs w:val="28"/>
        </w:rPr>
        <w:t>5. Đối với hỗ trợ thuê nhà ở, phải có nhu cầu thuê nhà ở thực tế tại nơi đến công tác; không được bố trí nhà ở công vụ, nhà ở tập thể miễn phí hoặc chỗ ở khác do cơ quan, tổ chức, đơn vị bảo đảm; không có chỗ ở thuộc quyền sử dụng hợp pháp đáp ứng nhu cầu lưu trú tại nơi công tác mới.</w:t>
      </w:r>
    </w:p>
    <w:p w14:paraId="5723A8E5">
      <w:pPr>
        <w:pStyle w:val="16"/>
        <w:spacing w:before="120" w:beforeAutospacing="0" w:after="120" w:afterAutospacing="0"/>
        <w:ind w:firstLine="709"/>
        <w:jc w:val="both"/>
        <w:rPr>
          <w:sz w:val="28"/>
          <w:szCs w:val="28"/>
        </w:rPr>
      </w:pPr>
      <w:r>
        <w:rPr>
          <w:sz w:val="28"/>
          <w:szCs w:val="28"/>
        </w:rPr>
        <w:t>6. Không thuộc trường hợp được thanh toán trùng nội dung chi theo khoản 5 Điều 3 Nghị quyết này.</w:t>
      </w:r>
    </w:p>
    <w:p w14:paraId="0E1339DA">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6. Nội dung và mức hỗ trợ</w:t>
      </w:r>
    </w:p>
    <w:p w14:paraId="129F1FD0">
      <w:pPr>
        <w:pStyle w:val="16"/>
        <w:keepNext/>
        <w:spacing w:before="120" w:beforeAutospacing="0" w:after="120" w:afterAutospacing="0"/>
        <w:ind w:firstLine="709"/>
        <w:jc w:val="both"/>
        <w:rPr>
          <w:sz w:val="28"/>
          <w:szCs w:val="28"/>
        </w:rPr>
      </w:pPr>
      <w:r>
        <w:rPr>
          <w:b/>
          <w:sz w:val="28"/>
          <w:szCs w:val="28"/>
        </w:rPr>
        <w:t>1. Hỗ trợ chi phí đi lại</w:t>
      </w:r>
    </w:p>
    <w:p w14:paraId="7D942A34">
      <w:pPr>
        <w:pStyle w:val="16"/>
        <w:spacing w:before="120" w:beforeAutospacing="0" w:after="120" w:afterAutospacing="0"/>
        <w:ind w:firstLine="709"/>
        <w:jc w:val="both"/>
        <w:rPr>
          <w:sz w:val="28"/>
          <w:szCs w:val="28"/>
        </w:rPr>
      </w:pPr>
      <w:r>
        <w:rPr>
          <w:sz w:val="28"/>
          <w:szCs w:val="28"/>
        </w:rPr>
        <w:t>Cán bộ, công chức, viên chức đáp ứng các điều kiện quy định tại các khoản 1, 2, 3, 4 và 6 Điều 5 Nghị quyết này được hỗ trợ chi phí đi lại hằng tháng theo khoảng cách từ nơi cư trú thực tế trước khi nhận nhiệm vụ đến địa điểm làm việc mới như sau:</w:t>
      </w:r>
    </w:p>
    <w:tbl>
      <w:tblPr>
        <w:tblStyle w:val="7"/>
        <w:tblW w:w="0" w:type="auto"/>
        <w:tblCellSpacing w:w="15" w:type="dxa"/>
        <w:tblInd w:w="0" w:type="dxa"/>
        <w:tblLayout w:type="autofit"/>
        <w:tblCellMar>
          <w:top w:w="15" w:type="dxa"/>
          <w:left w:w="15" w:type="dxa"/>
          <w:bottom w:w="15" w:type="dxa"/>
          <w:right w:w="15" w:type="dxa"/>
        </w:tblCellMar>
      </w:tblPr>
      <w:tblGrid>
        <w:gridCol w:w="3725"/>
        <w:gridCol w:w="3484"/>
      </w:tblGrid>
      <w:tr w14:paraId="7268BBC4">
        <w:tblPrEx>
          <w:tblCellMar>
            <w:top w:w="15" w:type="dxa"/>
            <w:left w:w="15" w:type="dxa"/>
            <w:bottom w:w="15" w:type="dxa"/>
            <w:right w:w="15" w:type="dxa"/>
          </w:tblCellMar>
        </w:tblPrEx>
        <w:trPr>
          <w:tblCellSpacing w:w="15" w:type="dxa"/>
        </w:trPr>
        <w:tc>
          <w:tcPr>
            <w:tcW w:w="0" w:type="auto"/>
            <w:vAlign w:val="center"/>
          </w:tcPr>
          <w:p w14:paraId="3823FD35">
            <w:pPr>
              <w:pStyle w:val="16"/>
              <w:spacing w:before="120" w:beforeAutospacing="0" w:after="120" w:afterAutospacing="0"/>
              <w:ind w:firstLine="709"/>
              <w:jc w:val="both"/>
              <w:rPr>
                <w:sz w:val="28"/>
                <w:szCs w:val="28"/>
              </w:rPr>
            </w:pPr>
            <w:r>
              <w:rPr>
                <w:sz w:val="28"/>
                <w:szCs w:val="28"/>
              </w:rPr>
              <w:t>Khoảng cách</w:t>
            </w:r>
          </w:p>
        </w:tc>
        <w:tc>
          <w:tcPr>
            <w:tcW w:w="0" w:type="auto"/>
            <w:vAlign w:val="center"/>
          </w:tcPr>
          <w:p w14:paraId="57B5BEE2">
            <w:pPr>
              <w:pStyle w:val="16"/>
              <w:spacing w:before="120" w:beforeAutospacing="0" w:after="120" w:afterAutospacing="0"/>
              <w:ind w:firstLine="709"/>
              <w:jc w:val="both"/>
              <w:rPr>
                <w:sz w:val="28"/>
                <w:szCs w:val="28"/>
              </w:rPr>
            </w:pPr>
            <w:r>
              <w:rPr>
                <w:sz w:val="28"/>
                <w:szCs w:val="28"/>
              </w:rPr>
              <w:t>Mức hỗ trợ/người/tháng</w:t>
            </w:r>
          </w:p>
        </w:tc>
      </w:tr>
      <w:tr w14:paraId="609E034C">
        <w:tblPrEx>
          <w:tblCellMar>
            <w:top w:w="15" w:type="dxa"/>
            <w:left w:w="15" w:type="dxa"/>
            <w:bottom w:w="15" w:type="dxa"/>
            <w:right w:w="15" w:type="dxa"/>
          </w:tblCellMar>
        </w:tblPrEx>
        <w:trPr>
          <w:tblCellSpacing w:w="15" w:type="dxa"/>
        </w:trPr>
        <w:tc>
          <w:tcPr>
            <w:tcW w:w="0" w:type="auto"/>
            <w:vAlign w:val="center"/>
          </w:tcPr>
          <w:p w14:paraId="36F83BF9">
            <w:pPr>
              <w:spacing w:before="120" w:after="120" w:line="240" w:lineRule="auto"/>
              <w:ind w:firstLine="709"/>
              <w:jc w:val="both"/>
              <w:rPr>
                <w:rFonts w:ascii="Times New Roman" w:hAnsi="Times New Roman"/>
                <w:sz w:val="28"/>
                <w:szCs w:val="28"/>
              </w:rPr>
            </w:pPr>
            <w:r>
              <w:rPr>
                <w:rFonts w:ascii="Times New Roman" w:hAnsi="Times New Roman" w:eastAsia="Times New Roman"/>
                <w:sz w:val="28"/>
                <w:szCs w:val="28"/>
              </w:rPr>
              <w:t>Từ 15 km đến dưới 30 km</w:t>
            </w:r>
          </w:p>
        </w:tc>
        <w:tc>
          <w:tcPr>
            <w:tcW w:w="0" w:type="auto"/>
            <w:vAlign w:val="center"/>
          </w:tcPr>
          <w:p w14:paraId="6C219D57">
            <w:pPr>
              <w:spacing w:before="120" w:after="120" w:line="240" w:lineRule="auto"/>
              <w:ind w:firstLine="709"/>
              <w:jc w:val="both"/>
              <w:rPr>
                <w:rFonts w:ascii="Times New Roman" w:hAnsi="Times New Roman"/>
                <w:sz w:val="28"/>
                <w:szCs w:val="28"/>
              </w:rPr>
            </w:pPr>
            <w:r>
              <w:rPr>
                <w:rFonts w:ascii="Times New Roman" w:hAnsi="Times New Roman" w:eastAsia="Times New Roman"/>
                <w:sz w:val="28"/>
                <w:szCs w:val="28"/>
              </w:rPr>
              <w:t>1.000.000 đồng</w:t>
            </w:r>
          </w:p>
        </w:tc>
      </w:tr>
      <w:tr w14:paraId="41DD77AC">
        <w:tblPrEx>
          <w:tblCellMar>
            <w:top w:w="15" w:type="dxa"/>
            <w:left w:w="15" w:type="dxa"/>
            <w:bottom w:w="15" w:type="dxa"/>
            <w:right w:w="15" w:type="dxa"/>
          </w:tblCellMar>
        </w:tblPrEx>
        <w:trPr>
          <w:tblCellSpacing w:w="15" w:type="dxa"/>
        </w:trPr>
        <w:tc>
          <w:tcPr>
            <w:tcW w:w="0" w:type="auto"/>
            <w:vAlign w:val="center"/>
          </w:tcPr>
          <w:p w14:paraId="28F15BA5">
            <w:pPr>
              <w:spacing w:before="120" w:after="120" w:line="240" w:lineRule="auto"/>
              <w:ind w:firstLine="709"/>
              <w:jc w:val="both"/>
              <w:rPr>
                <w:rFonts w:ascii="Times New Roman" w:hAnsi="Times New Roman"/>
                <w:sz w:val="28"/>
                <w:szCs w:val="28"/>
              </w:rPr>
            </w:pPr>
            <w:r>
              <w:rPr>
                <w:rFonts w:ascii="Times New Roman" w:hAnsi="Times New Roman" w:eastAsia="Times New Roman"/>
                <w:sz w:val="28"/>
                <w:szCs w:val="28"/>
              </w:rPr>
              <w:t>Từ 30 km đến dưới 60 km</w:t>
            </w:r>
          </w:p>
        </w:tc>
        <w:tc>
          <w:tcPr>
            <w:tcW w:w="0" w:type="auto"/>
            <w:vAlign w:val="center"/>
          </w:tcPr>
          <w:p w14:paraId="4E558509">
            <w:pPr>
              <w:spacing w:before="120" w:after="120" w:line="240" w:lineRule="auto"/>
              <w:ind w:firstLine="709"/>
              <w:jc w:val="both"/>
              <w:rPr>
                <w:rFonts w:ascii="Times New Roman" w:hAnsi="Times New Roman"/>
                <w:sz w:val="28"/>
                <w:szCs w:val="28"/>
              </w:rPr>
            </w:pPr>
            <w:r>
              <w:rPr>
                <w:rFonts w:ascii="Times New Roman" w:hAnsi="Times New Roman" w:eastAsia="Times New Roman"/>
                <w:sz w:val="28"/>
                <w:szCs w:val="28"/>
              </w:rPr>
              <w:t>1.500.000 đồng</w:t>
            </w:r>
          </w:p>
        </w:tc>
      </w:tr>
      <w:tr w14:paraId="3E4EAE7D">
        <w:tblPrEx>
          <w:tblCellMar>
            <w:top w:w="15" w:type="dxa"/>
            <w:left w:w="15" w:type="dxa"/>
            <w:bottom w:w="15" w:type="dxa"/>
            <w:right w:w="15" w:type="dxa"/>
          </w:tblCellMar>
        </w:tblPrEx>
        <w:trPr>
          <w:tblCellSpacing w:w="15" w:type="dxa"/>
        </w:trPr>
        <w:tc>
          <w:tcPr>
            <w:tcW w:w="0" w:type="auto"/>
            <w:vAlign w:val="center"/>
          </w:tcPr>
          <w:p w14:paraId="6844CD4F">
            <w:pPr>
              <w:spacing w:before="120" w:after="120" w:line="240" w:lineRule="auto"/>
              <w:ind w:firstLine="709"/>
              <w:jc w:val="both"/>
              <w:rPr>
                <w:rFonts w:ascii="Times New Roman" w:hAnsi="Times New Roman"/>
                <w:sz w:val="28"/>
                <w:szCs w:val="28"/>
              </w:rPr>
            </w:pPr>
            <w:r>
              <w:rPr>
                <w:rFonts w:ascii="Times New Roman" w:hAnsi="Times New Roman" w:eastAsia="Times New Roman"/>
                <w:sz w:val="28"/>
                <w:szCs w:val="28"/>
              </w:rPr>
              <w:t>Từ 60 km trở lên</w:t>
            </w:r>
          </w:p>
        </w:tc>
        <w:tc>
          <w:tcPr>
            <w:tcW w:w="0" w:type="auto"/>
            <w:vAlign w:val="center"/>
          </w:tcPr>
          <w:p w14:paraId="32854902">
            <w:pPr>
              <w:spacing w:before="120" w:after="120" w:line="240" w:lineRule="auto"/>
              <w:ind w:firstLine="709"/>
              <w:jc w:val="both"/>
              <w:rPr>
                <w:rFonts w:ascii="Times New Roman" w:hAnsi="Times New Roman"/>
                <w:sz w:val="28"/>
                <w:szCs w:val="28"/>
              </w:rPr>
            </w:pPr>
            <w:r>
              <w:rPr>
                <w:rFonts w:ascii="Times New Roman" w:hAnsi="Times New Roman" w:eastAsia="Times New Roman"/>
                <w:sz w:val="28"/>
                <w:szCs w:val="28"/>
              </w:rPr>
              <w:t>1.900.000 đồng</w:t>
            </w:r>
          </w:p>
        </w:tc>
      </w:tr>
    </w:tbl>
    <w:p w14:paraId="6B88C64D">
      <w:pPr>
        <w:pStyle w:val="16"/>
        <w:spacing w:before="120" w:beforeAutospacing="0" w:after="120" w:afterAutospacing="0"/>
        <w:ind w:firstLine="709"/>
        <w:jc w:val="both"/>
        <w:rPr>
          <w:sz w:val="28"/>
          <w:szCs w:val="28"/>
        </w:rPr>
      </w:pPr>
      <w:r>
        <w:rPr>
          <w:spacing w:val="3"/>
          <w:sz w:val="28"/>
          <w:szCs w:val="28"/>
        </w:rPr>
        <w:t xml:space="preserve">Người thuộc đối tượng hỗ trợ là nữ được hưởng thêm 10% mức hỗ trợ tương ứng quy định tại khoản này. </w:t>
      </w:r>
    </w:p>
    <w:p w14:paraId="792C7074">
      <w:pPr>
        <w:pStyle w:val="16"/>
        <w:spacing w:before="120" w:beforeAutospacing="0" w:after="120" w:afterAutospacing="0"/>
        <w:ind w:firstLine="709"/>
        <w:jc w:val="both"/>
        <w:rPr>
          <w:sz w:val="28"/>
          <w:szCs w:val="28"/>
        </w:rPr>
      </w:pPr>
      <w:r>
        <w:rPr>
          <w:sz w:val="28"/>
          <w:szCs w:val="28"/>
        </w:rPr>
        <w:t>Khoảng cách để xác định mức hỗ trợ được thực hiện thống nhất theo quy định tại khoản 3 Điều 5 Nghị quyết này. Cơ quan, tổ chức, đơn vị tiếp nhận có trách nhiệm xác định và lưu giữ thông tin làm căn cứ thực hiện chính sách.</w:t>
      </w:r>
    </w:p>
    <w:p w14:paraId="38E31557">
      <w:pPr>
        <w:pStyle w:val="16"/>
        <w:spacing w:before="120" w:beforeAutospacing="0" w:after="120" w:afterAutospacing="0"/>
        <w:ind w:firstLine="709"/>
        <w:jc w:val="both"/>
        <w:rPr>
          <w:sz w:val="28"/>
          <w:szCs w:val="28"/>
        </w:rPr>
      </w:pPr>
      <w:r>
        <w:rPr>
          <w:sz w:val="28"/>
          <w:szCs w:val="28"/>
        </w:rPr>
        <w:t>Không thực hiện hỗ trợ chi phí đi lại đối với thời gian người hưởng đã được cơ quan, đơn vị bố trí phương tiện đưa đón thường xuyên hoặc được thanh toán toàn bộ chi phí đi lại có cùng mục đích từ nguồn kinh phí khác.</w:t>
      </w:r>
    </w:p>
    <w:p w14:paraId="7AB6868A">
      <w:pPr>
        <w:pStyle w:val="16"/>
        <w:keepNext/>
        <w:spacing w:before="120" w:beforeAutospacing="0" w:after="120" w:afterAutospacing="0"/>
        <w:ind w:firstLine="709"/>
        <w:jc w:val="both"/>
        <w:rPr>
          <w:sz w:val="28"/>
          <w:szCs w:val="28"/>
        </w:rPr>
      </w:pPr>
      <w:r>
        <w:rPr>
          <w:b/>
          <w:sz w:val="28"/>
          <w:szCs w:val="28"/>
        </w:rPr>
        <w:t>2. Hỗ trợ tiền thuê nhà ở</w:t>
      </w:r>
    </w:p>
    <w:p w14:paraId="47545777">
      <w:pPr>
        <w:pStyle w:val="16"/>
        <w:spacing w:before="120" w:beforeAutospacing="0" w:after="120" w:afterAutospacing="0"/>
        <w:ind w:firstLine="709"/>
        <w:jc w:val="both"/>
        <w:rPr>
          <w:sz w:val="28"/>
          <w:szCs w:val="28"/>
        </w:rPr>
      </w:pPr>
      <w:r>
        <w:rPr>
          <w:sz w:val="28"/>
          <w:szCs w:val="28"/>
        </w:rPr>
        <w:t xml:space="preserve">a) Người được luân chuyển, điều động, biệt phái phải thuê nhà để lưu trú tại nơi công tác mới, đáp ứng điều kiện quy định tại khoản 5 Điều 5 Nghị quyết này, được hỗ trợ tối đa 1.500.000 đồng/người/tháng, nhưng không vượt quá số tiền thuê nhà thực tế phải trả. </w:t>
      </w:r>
    </w:p>
    <w:p w14:paraId="09AC4979">
      <w:pPr>
        <w:pStyle w:val="16"/>
        <w:spacing w:before="120" w:beforeAutospacing="0" w:after="120" w:afterAutospacing="0"/>
        <w:ind w:firstLine="709"/>
        <w:jc w:val="both"/>
        <w:rPr>
          <w:sz w:val="28"/>
          <w:szCs w:val="28"/>
        </w:rPr>
      </w:pPr>
      <w:r>
        <w:rPr>
          <w:sz w:val="28"/>
          <w:szCs w:val="28"/>
        </w:rPr>
        <w:t>b) Việc hỗ trợ căn cứ vào hợp đồng thuê nhà, tài liệu chứng minh chi phí thuê nhà thực tế theo quy định của pháp luật về kế toán, ngân sách nhà nước. Trường hợp nhiều người cùng thuê nhà, chi phí làm căn cứ hỗ trợ đối với mỗi người là phần chi phí thực tế người đó phải trả; tổng chi phí làm căn cứ hỗ trợ không vượt quá tiền thuê nhà thực tế của chỗ ở đó.</w:t>
      </w:r>
    </w:p>
    <w:p w14:paraId="318B673F">
      <w:pPr>
        <w:pStyle w:val="16"/>
        <w:spacing w:before="120" w:beforeAutospacing="0" w:after="120" w:afterAutospacing="0"/>
        <w:ind w:firstLine="709"/>
        <w:jc w:val="both"/>
        <w:rPr>
          <w:sz w:val="28"/>
          <w:szCs w:val="28"/>
        </w:rPr>
      </w:pPr>
      <w:r>
        <w:rPr>
          <w:sz w:val="28"/>
          <w:szCs w:val="28"/>
        </w:rPr>
        <w:t>c) Không thực hiện hỗ trợ đối với thời gian người hưởng đã được bố trí nhà ở công vụ, chỗ ở miễn phí hoặc đã được ngân sách nhà nước thanh toán toàn bộ chi phí thuê nhà theo chế độ khác.</w:t>
      </w:r>
    </w:p>
    <w:p w14:paraId="4C04AFE2">
      <w:pPr>
        <w:pStyle w:val="16"/>
        <w:keepNext/>
        <w:spacing w:before="120" w:beforeAutospacing="0" w:after="120" w:afterAutospacing="0"/>
        <w:ind w:firstLine="709"/>
        <w:jc w:val="both"/>
        <w:rPr>
          <w:sz w:val="28"/>
          <w:szCs w:val="28"/>
        </w:rPr>
      </w:pPr>
      <w:r>
        <w:rPr>
          <w:b/>
          <w:sz w:val="28"/>
          <w:szCs w:val="28"/>
        </w:rPr>
        <w:t>3. Hỗ trợ một lần khi nhận nhiệm vụ</w:t>
      </w:r>
    </w:p>
    <w:p w14:paraId="6ADC3C54">
      <w:pPr>
        <w:pStyle w:val="16"/>
        <w:spacing w:before="120" w:beforeAutospacing="0" w:after="120" w:afterAutospacing="0"/>
        <w:ind w:firstLine="709"/>
        <w:jc w:val="both"/>
        <w:rPr>
          <w:sz w:val="28"/>
          <w:szCs w:val="28"/>
        </w:rPr>
      </w:pPr>
      <w:r>
        <w:rPr>
          <w:sz w:val="28"/>
          <w:szCs w:val="28"/>
        </w:rPr>
        <w:t>Người được luân chuyển, điều động, biệt phái đến nơi công tác mới có khoảng cách từ 40 km trở lên, phải bố trí chỗ ở tại địa bàn mới và thời gian công tác từ 12 tháng trở lên, được hỗ trợ một lần 2.000.000 đồng/người để góp phần trang trải chi phí ban đầu khi thay đổi địa bàn công tác.</w:t>
      </w:r>
    </w:p>
    <w:p w14:paraId="1E034A72">
      <w:pPr>
        <w:pStyle w:val="16"/>
        <w:spacing w:before="120" w:beforeAutospacing="0" w:after="120" w:afterAutospacing="0"/>
        <w:ind w:firstLine="709"/>
        <w:jc w:val="both"/>
        <w:rPr>
          <w:sz w:val="28"/>
          <w:szCs w:val="28"/>
        </w:rPr>
      </w:pPr>
      <w:r>
        <w:rPr>
          <w:sz w:val="28"/>
          <w:szCs w:val="28"/>
        </w:rPr>
        <w:t>Mỗi người chỉ được hưởng khoản hỗ trợ một lần trong thời gian thực hiện Nghị quyết, trừ trường hợp được cấp có thẩm quyền quyết định tăng cường đến địa bàn khác sau khi đã hoàn thành nhiệm vụ trước đó và đáp ứng đầy đủ điều kiện hưởng theo quy định.</w:t>
      </w:r>
    </w:p>
    <w:p w14:paraId="7F4BA87D">
      <w:pPr>
        <w:pStyle w:val="16"/>
        <w:keepNext/>
        <w:spacing w:before="120" w:beforeAutospacing="0" w:after="120" w:afterAutospacing="0"/>
        <w:ind w:firstLine="709"/>
        <w:jc w:val="both"/>
        <w:rPr>
          <w:sz w:val="28"/>
          <w:szCs w:val="28"/>
        </w:rPr>
      </w:pPr>
      <w:r>
        <w:rPr>
          <w:b/>
          <w:sz w:val="28"/>
          <w:szCs w:val="28"/>
        </w:rPr>
        <w:t>4. Nguyên tắc kết hợp các khoản hỗ trợ</w:t>
      </w:r>
    </w:p>
    <w:p w14:paraId="148BC2A4">
      <w:pPr>
        <w:pStyle w:val="16"/>
        <w:spacing w:before="120" w:beforeAutospacing="0" w:after="120" w:afterAutospacing="0"/>
        <w:ind w:firstLine="709"/>
        <w:jc w:val="both"/>
        <w:rPr>
          <w:sz w:val="28"/>
          <w:szCs w:val="28"/>
        </w:rPr>
      </w:pPr>
      <w:r>
        <w:rPr>
          <w:sz w:val="28"/>
          <w:szCs w:val="28"/>
        </w:rPr>
        <w:t>Người đáp ứng đầy đủ điều kiện được hưởng đồng thời khoản hỗ trợ chi phí đi lại, hỗ trợ tiền thuê nhà ở và hỗ trợ một lần quy định tại các khoản 1, 2 và 3 Điều này, nếu các khoản hỗ trợ không thanh toán trùng cùng một nội dung chi.</w:t>
      </w:r>
    </w:p>
    <w:p w14:paraId="50B6D18A">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7. Thời gian hỗ trợ và phương thức chi trả</w:t>
      </w:r>
    </w:p>
    <w:p w14:paraId="10916B4F">
      <w:pPr>
        <w:pStyle w:val="16"/>
        <w:spacing w:before="120" w:beforeAutospacing="0" w:after="120" w:afterAutospacing="0"/>
        <w:ind w:firstLine="709"/>
        <w:jc w:val="both"/>
        <w:rPr>
          <w:sz w:val="28"/>
          <w:szCs w:val="28"/>
        </w:rPr>
      </w:pPr>
      <w:r>
        <w:rPr>
          <w:sz w:val="28"/>
          <w:szCs w:val="28"/>
        </w:rPr>
        <w:t>1. Thời gian hưởng chính sách được tính từ thời điểm người thuộc diện hỗ trợ thực tế nhận nhiệm vụ tại nơi đến, nhưng không trước ngày Nghị quyết có hiệu lực.</w:t>
      </w:r>
    </w:p>
    <w:p w14:paraId="35CE76D0">
      <w:pPr>
        <w:pStyle w:val="16"/>
        <w:spacing w:before="120" w:beforeAutospacing="0" w:after="120" w:afterAutospacing="0"/>
        <w:ind w:firstLine="709"/>
        <w:jc w:val="both"/>
        <w:rPr>
          <w:sz w:val="28"/>
          <w:szCs w:val="28"/>
        </w:rPr>
      </w:pPr>
      <w:r>
        <w:rPr>
          <w:sz w:val="28"/>
          <w:szCs w:val="28"/>
        </w:rPr>
        <w:t xml:space="preserve">2. Hỗ trợ chi phí đi lại được tính theo tháng. Trường hợp thời gian thực tế đủ điều kiện hưởng trong tháng không trọn tháng thì mức hỗ trợ bằng mức hỗ trợ tháng chia cho số ngày theo lịch của tháng đó và nhân với số ngày thực tế đủ điều kiện hưởng trong tháng. Hỗ trợ tiền thuê nhà thực hiện theo mức khoán hằng tháng, không tính theo số ngày thực tế trong tháng; người đủ điều kiện hưởng chính sách trong tháng được hưởng mức hỗ trợ của tháng đó. </w:t>
      </w:r>
    </w:p>
    <w:p w14:paraId="4CB0DD7B">
      <w:pPr>
        <w:pStyle w:val="16"/>
        <w:spacing w:before="120" w:beforeAutospacing="0" w:after="120" w:afterAutospacing="0"/>
        <w:ind w:firstLine="709"/>
        <w:jc w:val="both"/>
        <w:rPr>
          <w:sz w:val="28"/>
          <w:szCs w:val="28"/>
        </w:rPr>
      </w:pPr>
      <w:r>
        <w:rPr>
          <w:sz w:val="28"/>
          <w:szCs w:val="28"/>
        </w:rPr>
        <w:t>3. Đối với người được biệt phái, thời gian hỗ trợ không vượt quá thời hạn biệt phái hợp pháp theo quyết định của cơ quan có thẩm quyền.</w:t>
      </w:r>
    </w:p>
    <w:p w14:paraId="382DA24F">
      <w:pPr>
        <w:pStyle w:val="16"/>
        <w:spacing w:before="120" w:beforeAutospacing="0" w:after="120" w:afterAutospacing="0"/>
        <w:ind w:firstLine="709"/>
        <w:jc w:val="both"/>
        <w:rPr>
          <w:sz w:val="28"/>
          <w:szCs w:val="28"/>
        </w:rPr>
      </w:pPr>
      <w:r>
        <w:rPr>
          <w:sz w:val="28"/>
          <w:szCs w:val="28"/>
        </w:rPr>
        <w:t>4. Đối với người được luân chuyển, điều động, thời gian hưởng hỗ trợ hằng tháng tối đa 36 tháng kể từ ngày thực tế nhận nhiệm vụ tại nơi đến.</w:t>
      </w:r>
    </w:p>
    <w:p w14:paraId="49B87662">
      <w:pPr>
        <w:pStyle w:val="16"/>
        <w:spacing w:before="120" w:beforeAutospacing="0" w:after="120" w:afterAutospacing="0"/>
        <w:ind w:firstLine="709"/>
        <w:jc w:val="both"/>
        <w:rPr>
          <w:sz w:val="28"/>
          <w:szCs w:val="28"/>
        </w:rPr>
      </w:pPr>
      <w:r>
        <w:rPr>
          <w:sz w:val="28"/>
          <w:szCs w:val="28"/>
        </w:rPr>
        <w:t>5. Việc chi trả hỗ trợ được thực hiện theo kỳ lương hằng tháng hoặc kỳ thanh toán phù hợp của cơ quan tiếp nhận. Khoản hỗ trợ một lần được chi trả sau khi người hưởng thực tế nhận nhiệm vụ và được cơ quan tiếp nhận xác định đáp ứng đầy đủ điều kiện trên cơ sở thông tin, tài liệu quy định tại Điều 8 Nghị quyết này.</w:t>
      </w:r>
    </w:p>
    <w:p w14:paraId="44A26498">
      <w:pPr>
        <w:pStyle w:val="16"/>
        <w:spacing w:before="120" w:beforeAutospacing="0" w:after="120" w:afterAutospacing="0"/>
        <w:ind w:firstLine="709"/>
        <w:jc w:val="both"/>
        <w:rPr>
          <w:sz w:val="28"/>
          <w:szCs w:val="28"/>
        </w:rPr>
      </w:pPr>
      <w:r>
        <w:rPr>
          <w:sz w:val="28"/>
          <w:szCs w:val="28"/>
        </w:rPr>
        <w:t>6. Chấm dứt hỗ trợ khi người hưởng không còn đáp ứng điều kiện, kết thúc thời hạn luân chuyển, điều động, biệt phái, chuyển sang vị trí hoặc địa bàn khác không thuộc diện hỗ trợ, hoặc thôi việc, nghỉ hưu theo quy định.</w:t>
      </w:r>
    </w:p>
    <w:p w14:paraId="24F9F0A4">
      <w:pPr>
        <w:pStyle w:val="4"/>
        <w:spacing w:before="120" w:after="120" w:line="240" w:lineRule="auto"/>
        <w:ind w:firstLine="709"/>
        <w:jc w:val="both"/>
        <w:rPr>
          <w:rStyle w:val="17"/>
          <w:rFonts w:ascii="Times New Roman" w:hAnsi="Times New Roman"/>
          <w:color w:val="auto"/>
          <w:sz w:val="28"/>
          <w:szCs w:val="28"/>
        </w:rPr>
      </w:pPr>
      <w:r>
        <w:rPr>
          <w:rFonts w:ascii="Times New Roman" w:hAnsi="Times New Roman"/>
          <w:b/>
          <w:color w:val="auto"/>
          <w:sz w:val="28"/>
          <w:szCs w:val="28"/>
        </w:rPr>
        <w:t xml:space="preserve">Điều 8. </w:t>
      </w:r>
      <w:r>
        <w:rPr>
          <w:rStyle w:val="17"/>
          <w:rFonts w:ascii="Times New Roman" w:hAnsi="Times New Roman"/>
          <w:color w:val="auto"/>
          <w:sz w:val="28"/>
          <w:szCs w:val="28"/>
        </w:rPr>
        <w:t>Xác định đối tượng, điều kiện hưởng và thực hiện chính sách</w:t>
      </w:r>
    </w:p>
    <w:p w14:paraId="239179C1">
      <w:pPr>
        <w:spacing w:before="120" w:after="120" w:line="240" w:lineRule="auto"/>
        <w:ind w:firstLine="709"/>
        <w:jc w:val="both"/>
        <w:rPr>
          <w:rFonts w:ascii="Times New Roman" w:hAnsi="Times New Roman"/>
          <w:sz w:val="28"/>
          <w:szCs w:val="28"/>
        </w:rPr>
      </w:pPr>
      <w:r>
        <w:rPr>
          <w:rStyle w:val="17"/>
          <w:rFonts w:ascii="Times New Roman" w:hAnsi="Times New Roman" w:eastAsia="Times New Roman"/>
          <w:sz w:val="28"/>
          <w:szCs w:val="28"/>
        </w:rPr>
        <w:t xml:space="preserve">1. </w:t>
      </w:r>
      <w:r>
        <w:rPr>
          <w:rFonts w:ascii="Times New Roman" w:hAnsi="Times New Roman" w:eastAsia="Times New Roman"/>
          <w:sz w:val="28"/>
          <w:szCs w:val="28"/>
        </w:rPr>
        <w:t>Việc xác định đối tượng, điều kiện hưởng chính sách được thực hiện trên cơ sở các thông tin, tài liệu sau đây:</w:t>
      </w:r>
    </w:p>
    <w:p w14:paraId="1EF8A11B">
      <w:pPr>
        <w:pStyle w:val="16"/>
        <w:spacing w:before="120" w:beforeAutospacing="0" w:after="120" w:afterAutospacing="0"/>
        <w:ind w:firstLine="709"/>
        <w:jc w:val="both"/>
        <w:rPr>
          <w:sz w:val="28"/>
          <w:szCs w:val="28"/>
        </w:rPr>
      </w:pPr>
      <w:r>
        <w:rPr>
          <w:sz w:val="28"/>
          <w:szCs w:val="28"/>
        </w:rPr>
        <w:t>a) Quyết định luân chuyển, điều động, biệt phái của cơ quan, người có thẩm quyền;</w:t>
      </w:r>
    </w:p>
    <w:p w14:paraId="434940EE">
      <w:pPr>
        <w:pStyle w:val="16"/>
        <w:spacing w:before="120" w:beforeAutospacing="0" w:after="120" w:afterAutospacing="0"/>
        <w:ind w:firstLine="709"/>
        <w:jc w:val="both"/>
        <w:rPr>
          <w:sz w:val="28"/>
          <w:szCs w:val="28"/>
        </w:rPr>
      </w:pPr>
      <w:r>
        <w:rPr>
          <w:sz w:val="28"/>
          <w:szCs w:val="28"/>
        </w:rPr>
        <w:t>b) Thông tin về thời điểm nhận nhiệm vụ, địa điểm làm việc, thời gian thực tế công tác và nơi thường trú của người được luân chuyển, điều động, biệt phái;</w:t>
      </w:r>
    </w:p>
    <w:p w14:paraId="6C4CC62C">
      <w:pPr>
        <w:pStyle w:val="16"/>
        <w:spacing w:before="120" w:beforeAutospacing="0" w:after="120" w:afterAutospacing="0"/>
        <w:ind w:firstLine="709"/>
        <w:jc w:val="both"/>
        <w:rPr>
          <w:sz w:val="28"/>
          <w:szCs w:val="28"/>
        </w:rPr>
      </w:pPr>
      <w:r>
        <w:rPr>
          <w:sz w:val="28"/>
          <w:szCs w:val="28"/>
        </w:rPr>
        <w:t>c) Thông tin xác định khoảng cách từ nơi thường trú đến địa điểm làm việc mới;</w:t>
      </w:r>
    </w:p>
    <w:p w14:paraId="585B6C69">
      <w:pPr>
        <w:pStyle w:val="16"/>
        <w:spacing w:before="120" w:beforeAutospacing="0" w:after="120" w:afterAutospacing="0"/>
        <w:ind w:firstLine="709"/>
        <w:jc w:val="both"/>
        <w:rPr>
          <w:sz w:val="28"/>
          <w:szCs w:val="28"/>
        </w:rPr>
      </w:pPr>
      <w:r>
        <w:rPr>
          <w:sz w:val="28"/>
          <w:szCs w:val="28"/>
        </w:rPr>
        <w:t>d) Tài liệu chứng minh nhu cầu thuê nhà ở và chi phí thuê nhà thực tế đối với trường hợp hưởng chính sách hỗ trợ thuê nhà ở;</w:t>
      </w:r>
    </w:p>
    <w:p w14:paraId="465ADDAC">
      <w:pPr>
        <w:pStyle w:val="16"/>
        <w:spacing w:before="120" w:beforeAutospacing="0" w:after="120" w:afterAutospacing="0"/>
        <w:ind w:firstLine="709"/>
        <w:jc w:val="both"/>
        <w:rPr>
          <w:sz w:val="28"/>
          <w:szCs w:val="28"/>
        </w:rPr>
      </w:pPr>
      <w:r>
        <w:rPr>
          <w:sz w:val="28"/>
          <w:szCs w:val="28"/>
        </w:rPr>
        <w:t>đ) Thông tin về các chế độ, chính sách hỗ trợ có cùng nội dung chi mà người được hưởng đã hoặc đang được hưởng.</w:t>
      </w:r>
    </w:p>
    <w:p w14:paraId="26F6EE0C">
      <w:pPr>
        <w:pStyle w:val="16"/>
        <w:spacing w:before="120" w:beforeAutospacing="0" w:after="120" w:afterAutospacing="0"/>
        <w:ind w:firstLine="709"/>
        <w:jc w:val="both"/>
        <w:rPr>
          <w:b/>
          <w:sz w:val="28"/>
          <w:szCs w:val="28"/>
        </w:rPr>
      </w:pPr>
      <w:r>
        <w:rPr>
          <w:sz w:val="28"/>
          <w:szCs w:val="28"/>
        </w:rPr>
        <w:t>2. Cơ quan, tổ chức, đơn vị tiếp nhận cán bộ, công chức, viên chức được luân chuyển, điều động, biệt phái có trách nhiệm, trong phạm vi thẩm quyền và dự toán được giao, kiểm tra, xác định đối tượng, điều kiện, mức hỗ trợ và thời gian hưởng; tổ chức chi trả, theo dõi, điều chỉnh hoặc chấm dứt hỗ trợ khi không còn đủ điều kiện; quản lý, lưu trữ hồ sơ, chứng từ và thực hiện thanh toán, quyết toán kinh phí theo quy định.</w:t>
      </w:r>
    </w:p>
    <w:p w14:paraId="6A16FEAD">
      <w:pPr>
        <w:pStyle w:val="16"/>
        <w:spacing w:before="120" w:beforeAutospacing="0" w:after="120" w:afterAutospacing="0"/>
        <w:ind w:firstLine="709"/>
        <w:jc w:val="both"/>
        <w:rPr>
          <w:sz w:val="28"/>
          <w:szCs w:val="28"/>
        </w:rPr>
      </w:pPr>
      <w:r>
        <w:rPr>
          <w:sz w:val="28"/>
          <w:szCs w:val="28"/>
        </w:rPr>
        <w:t xml:space="preserve">Việc xác định điều kiện hưởng chính sách được thực hiện trên cơ sở hồ sơ quản lý cán bộ, công chức, viên chức và các thông tin, tài liệu có liên quan. </w:t>
      </w:r>
      <w:r>
        <w:rPr>
          <w:rStyle w:val="17"/>
          <w:b w:val="0"/>
          <w:sz w:val="28"/>
          <w:szCs w:val="28"/>
        </w:rPr>
        <w:t>Cơ quan tiếp nhận chủ động phối hợp với cơ quan cử đi để khai thác, xác minh thông tin cần thiết; không yêu cầu người hưởng cung cấp lại thông tin, tài liệu đã có hoặc có thể khai thác theo quy định.</w:t>
      </w:r>
    </w:p>
    <w:p w14:paraId="0F351528">
      <w:pPr>
        <w:pStyle w:val="16"/>
        <w:spacing w:before="120" w:beforeAutospacing="0" w:after="120" w:afterAutospacing="0"/>
        <w:ind w:firstLine="709"/>
        <w:jc w:val="both"/>
        <w:rPr>
          <w:sz w:val="28"/>
          <w:szCs w:val="28"/>
        </w:rPr>
      </w:pPr>
      <w:r>
        <w:rPr>
          <w:sz w:val="28"/>
          <w:szCs w:val="28"/>
        </w:rPr>
        <w:t>3. Trường hợp phát hiện chi trả sai đối tượng, điều kiện, mức hỗ trợ hoặc thời gian hưởng, cơ quan, tổ chức, đơn vị chi trả có trách nhiệm xác định số tiền chi sai, thực hiện xử lý, thu hồi theo thẩm quyền và quy định của pháp luật; trường hợp vượt thẩm quyền thì báo cáo cơ quan có thẩm quyền xem xét, quyết định.</w:t>
      </w:r>
    </w:p>
    <w:p w14:paraId="02795F00">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9. Kinh phí thực hiện</w:t>
      </w:r>
    </w:p>
    <w:p w14:paraId="053E30B6">
      <w:pPr>
        <w:pStyle w:val="16"/>
        <w:spacing w:before="120" w:beforeAutospacing="0" w:after="120" w:afterAutospacing="0"/>
        <w:ind w:firstLine="709"/>
        <w:jc w:val="both"/>
        <w:rPr>
          <w:sz w:val="28"/>
          <w:szCs w:val="28"/>
        </w:rPr>
      </w:pPr>
      <w:r>
        <w:rPr>
          <w:sz w:val="28"/>
          <w:szCs w:val="28"/>
        </w:rPr>
        <w:t>1. Kinh phí thực hiện chính sách do ngân sách địa phương bảo đảm theo phân cấp ngân sách hiện hành và được bố trí trong dự toán ngân sách hằng năm theo quy định của pháp luật về ngân sách nhà nước.</w:t>
      </w:r>
    </w:p>
    <w:p w14:paraId="3DDF61F4">
      <w:pPr>
        <w:pStyle w:val="16"/>
        <w:spacing w:before="120" w:beforeAutospacing="0" w:after="120" w:afterAutospacing="0"/>
        <w:ind w:firstLine="709"/>
        <w:jc w:val="both"/>
        <w:rPr>
          <w:bCs/>
          <w:sz w:val="28"/>
          <w:szCs w:val="28"/>
        </w:rPr>
      </w:pPr>
      <w:r>
        <w:rPr>
          <w:sz w:val="28"/>
          <w:szCs w:val="28"/>
        </w:rPr>
        <w:t>2. Kinh phí hỗ trợ đối với cán bộ, công chức, viên chức được luân chuyển, điều động, biệt phái được bố trí cho cơ quan, tổ chức, đơn vị tiếp nhận để thực hiện chi trả, quản lý và quyết toán theo quy định.</w:t>
      </w:r>
    </w:p>
    <w:p w14:paraId="3DBDA213">
      <w:pPr>
        <w:pStyle w:val="16"/>
        <w:spacing w:before="120" w:beforeAutospacing="0" w:after="120" w:afterAutospacing="0"/>
        <w:ind w:firstLine="709"/>
        <w:jc w:val="both"/>
        <w:rPr>
          <w:sz w:val="28"/>
          <w:szCs w:val="28"/>
        </w:rPr>
      </w:pPr>
      <w:r>
        <w:rPr>
          <w:sz w:val="28"/>
          <w:szCs w:val="28"/>
        </w:rPr>
        <w:t>3. Cơ quan, tổ chức, đơn vị tiếp nhận có trách nhiệm lập dự toán kinh phí thực hiện chính sách cùng thời điểm lập dự toán ngân sách hằng năm, gửi cơ quan có thẩm quyền tổng hợp, trình cấp có thẩm quyền quyết định theo quy định của pháp luật về ngân sách nhà nước.</w:t>
      </w:r>
    </w:p>
    <w:p w14:paraId="2EFF98A8">
      <w:pPr>
        <w:pStyle w:val="16"/>
        <w:spacing w:before="120" w:beforeAutospacing="0" w:after="120" w:afterAutospacing="0"/>
        <w:ind w:firstLine="709"/>
        <w:jc w:val="both"/>
        <w:rPr>
          <w:sz w:val="28"/>
          <w:szCs w:val="28"/>
        </w:rPr>
      </w:pPr>
      <w:r>
        <w:rPr>
          <w:sz w:val="28"/>
          <w:szCs w:val="28"/>
        </w:rPr>
        <w:t>4. Việc quản lý, sử dụng, thanh toán, quyết toán và kiểm tra kinh phí thực hiện chính sách tuân thủ quy định của pháp luật về ngân sách nhà nước và pháp luật có liên quan.</w:t>
      </w:r>
    </w:p>
    <w:p w14:paraId="1E903223">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10. Tổ chức thực hiện</w:t>
      </w:r>
    </w:p>
    <w:p w14:paraId="1CE018AC">
      <w:pPr>
        <w:pStyle w:val="16"/>
        <w:spacing w:before="120" w:beforeAutospacing="0" w:after="120" w:afterAutospacing="0"/>
        <w:ind w:firstLine="709"/>
        <w:jc w:val="both"/>
        <w:rPr>
          <w:sz w:val="28"/>
          <w:szCs w:val="28"/>
        </w:rPr>
      </w:pPr>
      <w:r>
        <w:rPr>
          <w:sz w:val="28"/>
          <w:szCs w:val="28"/>
        </w:rPr>
        <w:t xml:space="preserve">1. Giao Ủy ban nhân dân tỉnh tổ chức triển khai thực hiện Nghị quyết; chỉ đạo các cơ quan chuyên môn và Ủy ban nhân dân cấp xã rà soát, xác định nhu cầu tăng cường nhân lực; tổ chức thực hiện việc lập dự toán, chi trả, kiểm tra, thanh tra và tổng hợp kết quả thực hiện. </w:t>
      </w:r>
    </w:p>
    <w:p w14:paraId="5C1F3B8D">
      <w:pPr>
        <w:pStyle w:val="16"/>
        <w:spacing w:before="120" w:beforeAutospacing="0" w:after="120" w:afterAutospacing="0"/>
        <w:ind w:firstLine="709"/>
        <w:jc w:val="both"/>
        <w:rPr>
          <w:sz w:val="28"/>
          <w:szCs w:val="28"/>
        </w:rPr>
      </w:pPr>
      <w:r>
        <w:rPr>
          <w:sz w:val="28"/>
          <w:szCs w:val="28"/>
        </w:rPr>
        <w:t>2. Đề nghị các cơ quan có thẩm quyền của Đảng, Mặt trận Tổ quốc Việt Nam và các tổ chức chính trị - xã hội phối hợp tổ chức thực hiện đối với cán bộ, công chức, viên chức thuộc phạm vi quản lý theo quy định.</w:t>
      </w:r>
    </w:p>
    <w:p w14:paraId="353C6B7C">
      <w:pPr>
        <w:spacing w:before="120" w:after="120" w:line="240" w:lineRule="auto"/>
        <w:ind w:firstLine="709"/>
        <w:jc w:val="both"/>
        <w:rPr>
          <w:rFonts w:ascii="Times New Roman" w:hAnsi="Times New Roman" w:eastAsia="Times New Roman"/>
          <w:sz w:val="28"/>
          <w:szCs w:val="28"/>
        </w:rPr>
      </w:pPr>
      <w:r>
        <w:rPr>
          <w:rFonts w:ascii="Times New Roman" w:hAnsi="Times New Roman" w:eastAsia="Times New Roman"/>
          <w:sz w:val="28"/>
          <w:szCs w:val="28"/>
        </w:rPr>
        <w:t>3. Cơ quan, tổ chức, đơn vị cử cán bộ, công chức, viên chức đi luân chuyển, điều động, biệt phái có trách nhiệm phối hợp với cơ quan tiếp nhận trong việc cung cấp, xác nhận thông tin về nhân sự, quyết định bố trí công tác, các chế độ, chính sách đã được hưởng và những thông tin cần thiết khác để thực hiện chính sách; bảo đảm không chi trả trùng lặp các khoản hỗ trợ có cùng nội dung.</w:t>
      </w:r>
    </w:p>
    <w:p w14:paraId="69F45706">
      <w:pPr>
        <w:pStyle w:val="16"/>
        <w:spacing w:before="120" w:beforeAutospacing="0" w:after="120" w:afterAutospacing="0"/>
        <w:ind w:firstLine="709"/>
        <w:jc w:val="both"/>
        <w:rPr>
          <w:sz w:val="28"/>
          <w:szCs w:val="28"/>
        </w:rPr>
      </w:pPr>
      <w:r>
        <w:rPr>
          <w:sz w:val="28"/>
          <w:szCs w:val="28"/>
        </w:rPr>
        <w:t>4. Thường trực Hội đồng nhân dân tỉnh, các Ban của Hội đồng nhân dân tỉnh, các Tổ đại biểu và đại biểu Hội đồng nhân dân tỉnh giám sát việc thực hiện Nghị quyết.</w:t>
      </w:r>
    </w:p>
    <w:p w14:paraId="5DBB7F5C">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11. Điều khoản chuyển tiếp</w:t>
      </w:r>
    </w:p>
    <w:p w14:paraId="7D11C1C3">
      <w:pPr>
        <w:pStyle w:val="16"/>
        <w:spacing w:before="120" w:beforeAutospacing="0" w:after="120" w:afterAutospacing="0"/>
        <w:ind w:firstLine="709"/>
        <w:jc w:val="both"/>
        <w:rPr>
          <w:sz w:val="28"/>
          <w:szCs w:val="28"/>
        </w:rPr>
      </w:pPr>
      <w:r>
        <w:rPr>
          <w:sz w:val="28"/>
          <w:szCs w:val="28"/>
        </w:rPr>
        <w:t xml:space="preserve">1. Người được luân chuyển, điều động, biệt phái trước ngày Nghị quyết có hiệu lực và đang thực tế công tác tại cơ sở, địa bàn, vị trí cần tăng cường nhân lực được xem xét hưởng </w:t>
      </w:r>
      <w:r>
        <w:rPr>
          <w:rStyle w:val="17"/>
          <w:b w:val="0"/>
          <w:sz w:val="28"/>
          <w:szCs w:val="28"/>
        </w:rPr>
        <w:t>chính sách</w:t>
      </w:r>
      <w:r>
        <w:rPr>
          <w:rStyle w:val="17"/>
          <w:sz w:val="28"/>
          <w:szCs w:val="28"/>
        </w:rPr>
        <w:t xml:space="preserve"> </w:t>
      </w:r>
      <w:r>
        <w:rPr>
          <w:sz w:val="28"/>
          <w:szCs w:val="28"/>
        </w:rPr>
        <w:t>từ ngày Nghị quyết có hiệu lực nếu đáp ứng đầy đủ điều kiện quy định tại Nghị quyết này.</w:t>
      </w:r>
    </w:p>
    <w:p w14:paraId="2D4351C6">
      <w:pPr>
        <w:pStyle w:val="16"/>
        <w:spacing w:before="120" w:beforeAutospacing="0" w:after="120" w:afterAutospacing="0"/>
        <w:ind w:firstLine="709"/>
        <w:jc w:val="both"/>
        <w:rPr>
          <w:sz w:val="28"/>
          <w:szCs w:val="28"/>
        </w:rPr>
      </w:pPr>
      <w:r>
        <w:rPr>
          <w:sz w:val="28"/>
          <w:szCs w:val="28"/>
        </w:rPr>
        <w:t>2. Thời gian đã thực tế công tác tại nơi đến trước ngày Nghị quyết có hiệu lực được tính vào thời hạn hỗ trợ tối đa quy định tại khoản 4 Điều 7; không thực hiện chi trả hỗ trợ đối với thời gian trước ngày Nghị quyết có hiệu lực thi hành.</w:t>
      </w:r>
    </w:p>
    <w:p w14:paraId="0AA4DD31">
      <w:pPr>
        <w:pStyle w:val="4"/>
        <w:spacing w:before="120" w:after="120" w:line="240" w:lineRule="auto"/>
        <w:ind w:firstLine="709"/>
        <w:jc w:val="both"/>
        <w:rPr>
          <w:rFonts w:ascii="Times New Roman" w:hAnsi="Times New Roman"/>
          <w:b/>
          <w:color w:val="auto"/>
          <w:sz w:val="28"/>
          <w:szCs w:val="28"/>
        </w:rPr>
      </w:pPr>
      <w:r>
        <w:rPr>
          <w:rFonts w:ascii="Times New Roman" w:hAnsi="Times New Roman"/>
          <w:b/>
          <w:color w:val="auto"/>
          <w:sz w:val="28"/>
          <w:szCs w:val="28"/>
        </w:rPr>
        <w:t>Điều 12. Hiệu lực thi hành</w:t>
      </w:r>
    </w:p>
    <w:p w14:paraId="71C6667B">
      <w:pPr>
        <w:pStyle w:val="16"/>
        <w:spacing w:before="120" w:beforeAutospacing="0" w:after="120" w:afterAutospacing="0"/>
        <w:ind w:firstLine="709"/>
        <w:jc w:val="both"/>
        <w:rPr>
          <w:sz w:val="28"/>
          <w:szCs w:val="28"/>
        </w:rPr>
      </w:pPr>
      <w:r>
        <w:rPr>
          <w:sz w:val="28"/>
          <w:szCs w:val="28"/>
        </w:rPr>
        <w:t>1. Nghị quyết này có hiệu lực thi hành từ ngày … tháng … năm 2027.</w:t>
      </w:r>
    </w:p>
    <w:p w14:paraId="63567A09">
      <w:pPr>
        <w:pStyle w:val="16"/>
        <w:spacing w:before="120" w:beforeAutospacing="0" w:after="120" w:afterAutospacing="0"/>
        <w:ind w:firstLine="720"/>
        <w:jc w:val="both"/>
        <w:rPr>
          <w:sz w:val="28"/>
          <w:szCs w:val="28"/>
        </w:rPr>
      </w:pPr>
      <w:r>
        <w:rPr>
          <w:iCs/>
          <w:sz w:val="28"/>
          <w:szCs w:val="28"/>
        </w:rPr>
        <w:t xml:space="preserve">2. </w:t>
      </w:r>
      <w:r>
        <w:rPr>
          <w:iCs/>
          <w:sz w:val="28"/>
          <w:szCs w:val="28"/>
          <w:lang w:val="vi-VN"/>
        </w:rPr>
        <w:t xml:space="preserve">Nghị quyết này được Hội đồng nhân dân tỉnh Hà Tĩnh khóa XIX, Kỳ họp thứ </w:t>
      </w:r>
      <w:r>
        <w:rPr>
          <w:iCs/>
          <w:sz w:val="28"/>
          <w:szCs w:val="28"/>
        </w:rPr>
        <w:t>...</w:t>
      </w:r>
      <w:r>
        <w:rPr>
          <w:iCs/>
          <w:sz w:val="28"/>
          <w:szCs w:val="28"/>
          <w:lang w:val="vi-VN"/>
        </w:rPr>
        <w:t xml:space="preserve"> thông qua ngày </w:t>
      </w:r>
      <w:r>
        <w:rPr>
          <w:iCs/>
          <w:sz w:val="28"/>
          <w:szCs w:val="28"/>
        </w:rPr>
        <w:t>....</w:t>
      </w:r>
      <w:r>
        <w:rPr>
          <w:iCs/>
          <w:sz w:val="28"/>
          <w:szCs w:val="28"/>
          <w:lang w:val="vi-VN"/>
        </w:rPr>
        <w:t xml:space="preserve"> tháng .... năm 2026./.</w:t>
      </w:r>
      <w:r>
        <w:rPr>
          <w:iCs/>
          <w:sz w:val="28"/>
          <w:szCs w:val="28"/>
        </w:rPr>
        <w:t xml:space="preserve"> </w:t>
      </w:r>
    </w:p>
    <w:p w14:paraId="0794A721">
      <w:pPr>
        <w:spacing w:before="120" w:after="0" w:line="240" w:lineRule="auto"/>
        <w:ind w:firstLine="720"/>
        <w:jc w:val="both"/>
        <w:rPr>
          <w:rFonts w:ascii="Times New Roman" w:hAnsi="Times New Roman"/>
          <w:i/>
          <w:iCs/>
          <w:szCs w:val="28"/>
          <w:lang w:val="vi-VN"/>
        </w:rPr>
      </w:pPr>
    </w:p>
    <w:tbl>
      <w:tblPr>
        <w:tblStyle w:val="7"/>
        <w:tblW w:w="5156" w:type="pct"/>
        <w:tblInd w:w="0" w:type="dxa"/>
        <w:tblLayout w:type="fixed"/>
        <w:tblCellMar>
          <w:top w:w="0" w:type="dxa"/>
          <w:left w:w="0" w:type="dxa"/>
          <w:bottom w:w="0" w:type="dxa"/>
          <w:right w:w="0" w:type="dxa"/>
        </w:tblCellMar>
      </w:tblPr>
      <w:tblGrid>
        <w:gridCol w:w="5208"/>
        <w:gridCol w:w="4597"/>
      </w:tblGrid>
      <w:tr w14:paraId="313DC979">
        <w:tblPrEx>
          <w:tblCellMar>
            <w:top w:w="0" w:type="dxa"/>
            <w:left w:w="0" w:type="dxa"/>
            <w:bottom w:w="0" w:type="dxa"/>
            <w:right w:w="0" w:type="dxa"/>
          </w:tblCellMar>
        </w:tblPrEx>
        <w:trPr>
          <w:cantSplit/>
          <w:trHeight w:val="142" w:hRule="atLeast"/>
        </w:trPr>
        <w:tc>
          <w:tcPr>
            <w:tcW w:w="4819" w:type="dxa"/>
            <w:tcMar>
              <w:top w:w="0" w:type="dxa"/>
              <w:left w:w="108" w:type="dxa"/>
              <w:bottom w:w="0" w:type="dxa"/>
              <w:right w:w="108" w:type="dxa"/>
            </w:tcMar>
          </w:tcPr>
          <w:p w14:paraId="6CDC5A21">
            <w:pPr>
              <w:keepNext/>
              <w:spacing w:after="0" w:line="240" w:lineRule="auto"/>
              <w:ind w:right="38"/>
              <w:jc w:val="both"/>
              <w:rPr>
                <w:rFonts w:ascii="Times New Roman" w:hAnsi="Times New Roman"/>
                <w:b/>
                <w:bCs/>
                <w:i/>
                <w:iCs/>
                <w:sz w:val="24"/>
                <w:szCs w:val="24"/>
                <w:lang w:val="vi-VN"/>
              </w:rPr>
            </w:pPr>
            <w:r>
              <w:rPr>
                <w:rFonts w:ascii="Times New Roman" w:hAnsi="Times New Roman" w:eastAsia="Times New Roman"/>
                <w:b/>
                <w:bCs/>
                <w:i/>
                <w:iCs/>
                <w:sz w:val="24"/>
                <w:szCs w:val="24"/>
                <w:lang w:val="vi-VN"/>
              </w:rPr>
              <w:t>Nơi nhận:</w:t>
            </w:r>
          </w:p>
          <w:p w14:paraId="5C7A8638">
            <w:pPr>
              <w:keepNext/>
              <w:spacing w:after="0" w:line="240" w:lineRule="auto"/>
              <w:ind w:right="38"/>
              <w:jc w:val="both"/>
              <w:rPr>
                <w:rFonts w:ascii="Times New Roman" w:hAnsi="Times New Roman"/>
                <w:lang w:val="vi-VN"/>
              </w:rPr>
            </w:pPr>
            <w:r>
              <w:rPr>
                <w:rFonts w:ascii="Times New Roman" w:hAnsi="Times New Roman" w:eastAsia="Times New Roman"/>
                <w:lang w:val="vi-VN"/>
              </w:rPr>
              <w:t>- Ủy ban Thường vụ Quốc hội;</w:t>
            </w:r>
          </w:p>
          <w:p w14:paraId="637BF147">
            <w:pPr>
              <w:keepNext/>
              <w:spacing w:after="0" w:line="240" w:lineRule="auto"/>
              <w:ind w:right="38"/>
              <w:jc w:val="both"/>
              <w:rPr>
                <w:rFonts w:ascii="Times New Roman" w:hAnsi="Times New Roman"/>
                <w:lang w:val="vi-VN"/>
              </w:rPr>
            </w:pPr>
            <w:r>
              <w:rPr>
                <w:rFonts w:ascii="Times New Roman" w:hAnsi="Times New Roman" w:eastAsia="Times New Roman"/>
                <w:lang w:val="vi-VN"/>
              </w:rPr>
              <w:t>- Văn phòng Chính phủ;</w:t>
            </w:r>
          </w:p>
          <w:p w14:paraId="24E40FF4">
            <w:pPr>
              <w:keepNext/>
              <w:spacing w:after="0" w:line="240" w:lineRule="auto"/>
              <w:ind w:right="38"/>
              <w:jc w:val="both"/>
              <w:rPr>
                <w:rFonts w:ascii="Times New Roman" w:hAnsi="Times New Roman"/>
                <w:lang w:val="vi-VN"/>
              </w:rPr>
            </w:pPr>
            <w:r>
              <w:rPr>
                <w:rFonts w:ascii="Times New Roman" w:hAnsi="Times New Roman" w:eastAsia="Times New Roman"/>
                <w:lang w:val="vi-VN"/>
              </w:rPr>
              <w:t>- Các bộ: Tài chính, Nội vụ, Khoa học và Công nghệ;</w:t>
            </w:r>
          </w:p>
          <w:p w14:paraId="5C44D157">
            <w:pPr>
              <w:keepNext/>
              <w:spacing w:after="0" w:line="240" w:lineRule="auto"/>
              <w:ind w:right="38"/>
              <w:jc w:val="both"/>
              <w:rPr>
                <w:rFonts w:ascii="Times New Roman" w:hAnsi="Times New Roman"/>
                <w:lang w:val="vi-VN"/>
              </w:rPr>
            </w:pPr>
            <w:r>
              <w:rPr>
                <w:rFonts w:ascii="Times New Roman" w:hAnsi="Times New Roman" w:eastAsia="Times New Roman"/>
                <w:lang w:val="vi-VN"/>
              </w:rPr>
              <w:t>- Cục Kiểm tra văn bản</w:t>
            </w:r>
            <w:r>
              <w:rPr>
                <w:rFonts w:ascii="Times New Roman" w:hAnsi="Times New Roman" w:eastAsia="Times New Roman"/>
                <w:i/>
                <w:iCs/>
                <w:lang w:val="vi-VN"/>
              </w:rPr>
              <w:t xml:space="preserve"> </w:t>
            </w:r>
            <w:r>
              <w:rPr>
                <w:rFonts w:ascii="Times New Roman" w:hAnsi="Times New Roman" w:eastAsia="Times New Roman"/>
                <w:lang w:val="vi-VN"/>
              </w:rPr>
              <w:t xml:space="preserve">và Tổ chức thi hành pháp luật,     </w:t>
            </w:r>
          </w:p>
          <w:p w14:paraId="571FDE4E">
            <w:pPr>
              <w:keepNext/>
              <w:spacing w:after="0" w:line="240" w:lineRule="auto"/>
              <w:ind w:right="38"/>
              <w:jc w:val="both"/>
              <w:rPr>
                <w:rFonts w:ascii="Times New Roman" w:hAnsi="Times New Roman"/>
                <w:lang w:val="vi-VN"/>
              </w:rPr>
            </w:pPr>
            <w:r>
              <w:rPr>
                <w:rFonts w:ascii="Times New Roman" w:hAnsi="Times New Roman" w:eastAsia="Times New Roman"/>
              </w:rPr>
              <w:t xml:space="preserve">  </w:t>
            </w:r>
            <w:r>
              <w:rPr>
                <w:rFonts w:ascii="Times New Roman" w:hAnsi="Times New Roman" w:eastAsia="Times New Roman"/>
                <w:lang w:val="vi-VN"/>
              </w:rPr>
              <w:t>Bộ Tư pháp;</w:t>
            </w:r>
          </w:p>
          <w:p w14:paraId="7CA03F28">
            <w:pPr>
              <w:keepNext/>
              <w:spacing w:after="0" w:line="240" w:lineRule="auto"/>
              <w:ind w:right="38"/>
              <w:jc w:val="both"/>
              <w:rPr>
                <w:rFonts w:ascii="Times New Roman" w:hAnsi="Times New Roman"/>
                <w:lang w:val="vi-VN"/>
              </w:rPr>
            </w:pPr>
            <w:r>
              <w:rPr>
                <w:rFonts w:ascii="Times New Roman" w:hAnsi="Times New Roman" w:eastAsia="Times New Roman"/>
                <w:lang w:val="vi-VN"/>
              </w:rPr>
              <w:t>- Thường trực Tỉnh ủy;</w:t>
            </w:r>
          </w:p>
          <w:p w14:paraId="2AA3E628">
            <w:pPr>
              <w:keepNext/>
              <w:spacing w:after="0" w:line="240" w:lineRule="auto"/>
              <w:ind w:right="38"/>
              <w:jc w:val="both"/>
              <w:rPr>
                <w:rFonts w:ascii="Times New Roman" w:hAnsi="Times New Roman"/>
                <w:lang w:val="vi-VN"/>
              </w:rPr>
            </w:pPr>
            <w:r>
              <w:rPr>
                <w:rFonts w:ascii="Times New Roman" w:hAnsi="Times New Roman" w:eastAsia="Times New Roman"/>
                <w:lang w:val="vi-VN"/>
              </w:rPr>
              <w:t>- Thường trực Hội đồng nhân dân tỉnh;</w:t>
            </w:r>
          </w:p>
          <w:p w14:paraId="6CC1537C">
            <w:pPr>
              <w:keepNext/>
              <w:spacing w:after="0" w:line="240" w:lineRule="auto"/>
              <w:ind w:right="38"/>
              <w:jc w:val="both"/>
              <w:rPr>
                <w:rFonts w:ascii="Times New Roman" w:hAnsi="Times New Roman"/>
                <w:lang w:val="vi-VN"/>
              </w:rPr>
            </w:pPr>
            <w:r>
              <w:rPr>
                <w:rFonts w:ascii="Times New Roman" w:hAnsi="Times New Roman" w:eastAsia="Times New Roman"/>
                <w:lang w:val="vi-VN"/>
              </w:rPr>
              <w:t xml:space="preserve">- Ủy ban nhân dân tỉnh; </w:t>
            </w:r>
          </w:p>
          <w:p w14:paraId="4FACBCC6">
            <w:pPr>
              <w:keepNext/>
              <w:spacing w:after="0" w:line="240" w:lineRule="auto"/>
              <w:ind w:right="38"/>
              <w:jc w:val="both"/>
              <w:rPr>
                <w:rFonts w:ascii="Times New Roman" w:hAnsi="Times New Roman"/>
                <w:lang w:val="vi-VN"/>
              </w:rPr>
            </w:pPr>
            <w:r>
              <w:rPr>
                <w:rFonts w:ascii="Times New Roman" w:hAnsi="Times New Roman" w:eastAsia="Times New Roman"/>
                <w:lang w:val="vi-VN"/>
              </w:rPr>
              <w:t>- Ủy ban Mặt trận Tổ quốc Việt Nam tỉnh;</w:t>
            </w:r>
          </w:p>
          <w:p w14:paraId="30D2D42B">
            <w:pPr>
              <w:keepNext/>
              <w:spacing w:after="0" w:line="240" w:lineRule="auto"/>
              <w:ind w:right="38"/>
              <w:jc w:val="both"/>
              <w:rPr>
                <w:rFonts w:ascii="Times New Roman" w:hAnsi="Times New Roman"/>
                <w:lang w:val="vi-VN"/>
              </w:rPr>
            </w:pPr>
            <w:r>
              <w:rPr>
                <w:rFonts w:ascii="Times New Roman" w:hAnsi="Times New Roman" w:eastAsia="Times New Roman"/>
                <w:lang w:val="vi-VN"/>
              </w:rPr>
              <w:t>- Đoàn đại biểu Quốc hội tỉnh;</w:t>
            </w:r>
          </w:p>
          <w:p w14:paraId="2322401A">
            <w:pPr>
              <w:keepNext/>
              <w:spacing w:after="0" w:line="240" w:lineRule="auto"/>
              <w:ind w:right="38"/>
              <w:jc w:val="both"/>
              <w:rPr>
                <w:rFonts w:ascii="Times New Roman" w:hAnsi="Times New Roman"/>
                <w:lang w:val="vi-VN"/>
              </w:rPr>
            </w:pPr>
            <w:r>
              <w:rPr>
                <w:rFonts w:ascii="Times New Roman" w:hAnsi="Times New Roman" w:eastAsia="Times New Roman"/>
                <w:lang w:val="vi-VN"/>
              </w:rPr>
              <w:t>- Đại biểu Hội đồng nhân dân tỉnh;</w:t>
            </w:r>
          </w:p>
          <w:p w14:paraId="7401EE0C">
            <w:pPr>
              <w:keepNext/>
              <w:spacing w:after="0" w:line="240" w:lineRule="auto"/>
              <w:ind w:right="38"/>
              <w:jc w:val="both"/>
              <w:rPr>
                <w:rFonts w:ascii="Times New Roman" w:hAnsi="Times New Roman"/>
                <w:lang w:val="vi-VN"/>
              </w:rPr>
            </w:pPr>
            <w:r>
              <w:rPr>
                <w:rFonts w:ascii="Times New Roman" w:hAnsi="Times New Roman" w:eastAsia="Times New Roman"/>
                <w:lang w:val="vi-VN"/>
              </w:rPr>
              <w:t>- Các sở, ban, ngành</w:t>
            </w:r>
            <w:r>
              <w:rPr>
                <w:rFonts w:ascii="Times New Roman" w:hAnsi="Times New Roman" w:eastAsia="Times New Roman"/>
              </w:rPr>
              <w:t>, đơn vị sự nghiệp</w:t>
            </w:r>
            <w:r>
              <w:rPr>
                <w:rFonts w:ascii="Times New Roman" w:hAnsi="Times New Roman" w:eastAsia="Times New Roman"/>
                <w:lang w:val="vi-VN"/>
              </w:rPr>
              <w:t xml:space="preserve"> cấp tỉnh;</w:t>
            </w:r>
          </w:p>
          <w:p w14:paraId="091642F1">
            <w:pPr>
              <w:keepNext/>
              <w:spacing w:after="0" w:line="240" w:lineRule="auto"/>
              <w:ind w:right="38"/>
              <w:jc w:val="both"/>
              <w:rPr>
                <w:rFonts w:ascii="Times New Roman" w:hAnsi="Times New Roman"/>
                <w:lang w:val="vi-VN"/>
              </w:rPr>
            </w:pPr>
            <w:r>
              <w:rPr>
                <w:rFonts w:ascii="Times New Roman" w:hAnsi="Times New Roman" w:eastAsia="Times New Roman"/>
                <w:lang w:val="vi-VN"/>
              </w:rPr>
              <w:t>- Báo và phát thanh, truyền hình Hà Tĩnh;</w:t>
            </w:r>
          </w:p>
          <w:p w14:paraId="3612BF57">
            <w:pPr>
              <w:keepNext/>
              <w:spacing w:after="0" w:line="240" w:lineRule="auto"/>
              <w:ind w:right="38"/>
              <w:rPr>
                <w:rFonts w:ascii="Times New Roman" w:hAnsi="Times New Roman"/>
                <w:spacing w:val="-6"/>
                <w:lang w:val="vi-VN"/>
              </w:rPr>
            </w:pPr>
            <w:r>
              <w:rPr>
                <w:rFonts w:ascii="Times New Roman" w:hAnsi="Times New Roman" w:eastAsia="Times New Roman"/>
                <w:spacing w:val="-6"/>
                <w:lang w:val="vi-VN"/>
              </w:rPr>
              <w:t>- Thường trực: Đảng ủy, HĐND, UBND các xã, phường;</w:t>
            </w:r>
          </w:p>
          <w:p w14:paraId="08433165">
            <w:pPr>
              <w:keepNext/>
              <w:spacing w:after="0" w:line="240" w:lineRule="auto"/>
              <w:ind w:right="38"/>
              <w:rPr>
                <w:rFonts w:ascii="Times New Roman" w:hAnsi="Times New Roman"/>
                <w:lang w:val="vi-VN"/>
              </w:rPr>
            </w:pPr>
            <w:r>
              <w:rPr>
                <w:rFonts w:ascii="Times New Roman" w:hAnsi="Times New Roman" w:eastAsia="Times New Roman"/>
                <w:spacing w:val="-6"/>
                <w:lang w:val="vi-VN"/>
              </w:rPr>
              <w:t>- Trung tâm Thông tin và Xúc tiến, hỗ trợ đầu tư tỉnh;</w:t>
            </w:r>
          </w:p>
          <w:p w14:paraId="14CA996E">
            <w:pPr>
              <w:keepNext/>
              <w:spacing w:after="0" w:line="240" w:lineRule="auto"/>
              <w:ind w:right="38"/>
              <w:jc w:val="both"/>
              <w:rPr>
                <w:rFonts w:ascii="Times New Roman" w:hAnsi="Times New Roman"/>
                <w:lang w:val="vi-VN"/>
              </w:rPr>
            </w:pPr>
            <w:r>
              <w:rPr>
                <w:rFonts w:ascii="Times New Roman" w:hAnsi="Times New Roman" w:eastAsia="Times New Roman"/>
                <w:lang w:val="vi-VN"/>
              </w:rPr>
              <w:t>- Cổng Thông tin điện tử tỉnh;</w:t>
            </w:r>
          </w:p>
          <w:p w14:paraId="3B6CCB1B">
            <w:pPr>
              <w:keepNext/>
              <w:spacing w:after="0" w:line="240" w:lineRule="auto"/>
              <w:ind w:right="38"/>
              <w:jc w:val="both"/>
              <w:rPr>
                <w:rFonts w:ascii="Times New Roman" w:hAnsi="Times New Roman"/>
                <w:lang w:val="vi-VN"/>
              </w:rPr>
            </w:pPr>
            <w:r>
              <w:rPr>
                <w:rFonts w:ascii="Times New Roman" w:hAnsi="Times New Roman" w:eastAsia="Times New Roman"/>
                <w:lang w:val="vi-VN"/>
              </w:rPr>
              <w:t xml:space="preserve">- Lưu: </w:t>
            </w:r>
            <w:r>
              <w:rPr>
                <w:rFonts w:ascii="Times New Roman" w:hAnsi="Times New Roman" w:eastAsia="Times New Roman"/>
              </w:rPr>
              <w:t xml:space="preserve">VT, </w:t>
            </w:r>
            <w:r>
              <w:rPr>
                <w:rFonts w:ascii="Times New Roman" w:hAnsi="Times New Roman" w:eastAsia="Times New Roman"/>
                <w:lang w:val="vi-VN"/>
              </w:rPr>
              <w:t>HĐ</w:t>
            </w:r>
            <w:r>
              <w:rPr>
                <w:rFonts w:ascii="Times New Roman" w:hAnsi="Times New Roman" w:eastAsia="Times New Roman"/>
                <w:vertAlign w:val="subscript"/>
                <w:lang w:val="vi-VN"/>
              </w:rPr>
              <w:t>1</w:t>
            </w:r>
            <w:r>
              <w:rPr>
                <w:rFonts w:ascii="Times New Roman" w:hAnsi="Times New Roman" w:eastAsia="Times New Roman"/>
                <w:lang w:val="vi-VN"/>
              </w:rPr>
              <w:t>, TH</w:t>
            </w:r>
            <w:r>
              <w:rPr>
                <w:rFonts w:ascii="Times New Roman" w:hAnsi="Times New Roman" w:eastAsia="Times New Roman"/>
                <w:vertAlign w:val="subscript"/>
                <w:lang w:val="vi-VN"/>
              </w:rPr>
              <w:t>2</w:t>
            </w:r>
            <w:r>
              <w:rPr>
                <w:rFonts w:ascii="Times New Roman" w:hAnsi="Times New Roman" w:eastAsia="Times New Roman"/>
                <w:lang w:val="vi-VN"/>
              </w:rPr>
              <w:t>.</w:t>
            </w:r>
          </w:p>
        </w:tc>
        <w:tc>
          <w:tcPr>
            <w:tcW w:w="4252" w:type="dxa"/>
            <w:tcMar>
              <w:top w:w="0" w:type="dxa"/>
              <w:left w:w="108" w:type="dxa"/>
              <w:bottom w:w="0" w:type="dxa"/>
              <w:right w:w="108" w:type="dxa"/>
            </w:tcMar>
          </w:tcPr>
          <w:p w14:paraId="57B8A2D9">
            <w:pPr>
              <w:keepNext/>
              <w:spacing w:after="0" w:line="240" w:lineRule="auto"/>
              <w:jc w:val="center"/>
              <w:rPr>
                <w:rFonts w:ascii="Times New Roman" w:hAnsi="Times New Roman"/>
                <w:b/>
                <w:bCs/>
                <w:sz w:val="28"/>
                <w:szCs w:val="28"/>
                <w:lang w:val="vi-VN"/>
              </w:rPr>
            </w:pPr>
            <w:r>
              <w:rPr>
                <w:rFonts w:ascii="Times New Roman" w:hAnsi="Times New Roman" w:eastAsia="Times New Roman"/>
                <w:b/>
                <w:bCs/>
                <w:sz w:val="28"/>
                <w:szCs w:val="28"/>
                <w:lang w:val="vi-VN"/>
              </w:rPr>
              <w:t>CHỦ TỊCH</w:t>
            </w:r>
          </w:p>
          <w:p w14:paraId="614C4914">
            <w:pPr>
              <w:keepNext/>
              <w:spacing w:after="0" w:line="240" w:lineRule="auto"/>
              <w:jc w:val="center"/>
              <w:rPr>
                <w:rFonts w:ascii="Times New Roman" w:hAnsi="Times New Roman"/>
                <w:b/>
                <w:bCs/>
                <w:sz w:val="28"/>
                <w:szCs w:val="28"/>
                <w:lang w:val="vi-VN"/>
              </w:rPr>
            </w:pPr>
          </w:p>
          <w:p w14:paraId="469C73D5">
            <w:pPr>
              <w:keepNext/>
              <w:spacing w:after="0" w:line="240" w:lineRule="auto"/>
              <w:jc w:val="center"/>
              <w:rPr>
                <w:rFonts w:ascii="Times New Roman" w:hAnsi="Times New Roman"/>
                <w:b/>
                <w:bCs/>
                <w:sz w:val="28"/>
                <w:szCs w:val="28"/>
                <w:lang w:val="vi-VN"/>
              </w:rPr>
            </w:pPr>
          </w:p>
          <w:p w14:paraId="7B149DF9">
            <w:pPr>
              <w:keepNext/>
              <w:spacing w:after="0" w:line="240" w:lineRule="auto"/>
              <w:jc w:val="center"/>
              <w:rPr>
                <w:rFonts w:ascii="Times New Roman" w:hAnsi="Times New Roman"/>
                <w:b/>
                <w:bCs/>
                <w:sz w:val="28"/>
                <w:szCs w:val="28"/>
                <w:lang w:val="vi-VN"/>
              </w:rPr>
            </w:pPr>
          </w:p>
          <w:p w14:paraId="60FD535D">
            <w:pPr>
              <w:keepNext/>
              <w:spacing w:after="0" w:line="240" w:lineRule="auto"/>
              <w:jc w:val="center"/>
              <w:rPr>
                <w:rFonts w:ascii="Times New Roman" w:hAnsi="Times New Roman"/>
                <w:b/>
                <w:bCs/>
                <w:sz w:val="28"/>
                <w:szCs w:val="28"/>
                <w:lang w:val="vi-VN"/>
              </w:rPr>
            </w:pPr>
          </w:p>
          <w:p w14:paraId="71740501">
            <w:pPr>
              <w:keepNext/>
              <w:spacing w:after="0" w:line="240" w:lineRule="auto"/>
              <w:jc w:val="center"/>
              <w:rPr>
                <w:rFonts w:ascii="Times New Roman" w:hAnsi="Times New Roman"/>
                <w:b/>
                <w:bCs/>
                <w:sz w:val="28"/>
                <w:szCs w:val="28"/>
                <w:lang w:val="vi-VN"/>
              </w:rPr>
            </w:pPr>
          </w:p>
          <w:p w14:paraId="0AF0D8A0">
            <w:pPr>
              <w:keepNext/>
              <w:spacing w:after="0" w:line="240" w:lineRule="auto"/>
              <w:jc w:val="center"/>
              <w:rPr>
                <w:rFonts w:ascii="Times New Roman" w:hAnsi="Times New Roman"/>
                <w:b/>
                <w:bCs/>
                <w:sz w:val="28"/>
                <w:szCs w:val="28"/>
                <w:lang w:val="vi-VN"/>
              </w:rPr>
            </w:pPr>
          </w:p>
          <w:p w14:paraId="54B31CE8">
            <w:pPr>
              <w:keepNext/>
              <w:spacing w:after="0" w:line="240" w:lineRule="auto"/>
              <w:jc w:val="center"/>
              <w:rPr>
                <w:rFonts w:ascii="Times New Roman" w:hAnsi="Times New Roman"/>
                <w:b/>
                <w:bCs/>
                <w:sz w:val="28"/>
                <w:szCs w:val="28"/>
                <w:lang w:val="vi-VN"/>
              </w:rPr>
            </w:pPr>
          </w:p>
          <w:p w14:paraId="7668E59E">
            <w:pPr>
              <w:keepNext/>
              <w:spacing w:after="0" w:line="240" w:lineRule="auto"/>
              <w:jc w:val="center"/>
              <w:rPr>
                <w:rFonts w:ascii="Times New Roman" w:hAnsi="Times New Roman"/>
                <w:b/>
                <w:bCs/>
                <w:sz w:val="28"/>
                <w:szCs w:val="28"/>
                <w:lang w:val="vi-VN"/>
              </w:rPr>
            </w:pPr>
            <w:r>
              <w:rPr>
                <w:rFonts w:ascii="Times New Roman" w:hAnsi="Times New Roman" w:eastAsia="Times New Roman"/>
                <w:b/>
                <w:bCs/>
                <w:sz w:val="28"/>
                <w:szCs w:val="28"/>
                <w:lang w:val="vi-VN"/>
              </w:rPr>
              <w:t>Nguyễn Hồng Lĩnh</w:t>
            </w:r>
          </w:p>
        </w:tc>
      </w:tr>
    </w:tbl>
    <w:p w14:paraId="2A66F02A">
      <w:pPr>
        <w:rPr>
          <w:rFonts w:ascii="Times New Roman" w:hAnsi="Times New Roman" w:eastAsia="Times New Roman"/>
          <w:vanish/>
          <w:szCs w:val="28"/>
          <w:lang w:val="vi-VN"/>
        </w:rPr>
      </w:pPr>
    </w:p>
    <w:p w14:paraId="6DD1ED5D">
      <w:pPr>
        <w:rPr>
          <w:rFonts w:ascii="Times New Roman" w:hAnsi="Times New Roman"/>
        </w:rPr>
      </w:pPr>
    </w:p>
    <w:sectPr>
      <w:headerReference r:id="rId5" w:type="default"/>
      <w:pgSz w:w="11900" w:h="16840"/>
      <w:pgMar w:top="1134" w:right="964" w:bottom="1077" w:left="1644" w:header="454"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PTSans-Regular">
    <w:altName w:val="Arial"/>
    <w:panose1 w:val="00000000000000000000"/>
    <w:charset w:val="00"/>
    <w:family w:val="roman"/>
    <w:pitch w:val="default"/>
    <w:sig w:usb0="00000000" w:usb1="00000000" w:usb2="00000000" w:usb3="00000000" w:csb0="00000000" w:csb1="00000000"/>
  </w:font>
  <w:font w:name="TimesNewRomanPSMT">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CF2B6">
    <w:pPr>
      <w:pStyle w:val="14"/>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4</w:t>
    </w:r>
    <w:r>
      <w:rPr>
        <w:rFonts w:ascii="Times New Roman" w:hAnsi="Times New Roman"/>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8A6"/>
    <w:rsid w:val="000375D9"/>
    <w:rsid w:val="00044516"/>
    <w:rsid w:val="00061FED"/>
    <w:rsid w:val="00065F0A"/>
    <w:rsid w:val="00086721"/>
    <w:rsid w:val="0008679A"/>
    <w:rsid w:val="00093DCA"/>
    <w:rsid w:val="000A3DE7"/>
    <w:rsid w:val="000A5C88"/>
    <w:rsid w:val="000A6DE1"/>
    <w:rsid w:val="000C538B"/>
    <w:rsid w:val="000D6CCA"/>
    <w:rsid w:val="000E3DE8"/>
    <w:rsid w:val="000F6D65"/>
    <w:rsid w:val="00111EEA"/>
    <w:rsid w:val="001139E8"/>
    <w:rsid w:val="00114BF5"/>
    <w:rsid w:val="0014625D"/>
    <w:rsid w:val="001470BF"/>
    <w:rsid w:val="001555AF"/>
    <w:rsid w:val="00170749"/>
    <w:rsid w:val="00182CEC"/>
    <w:rsid w:val="00184D12"/>
    <w:rsid w:val="00187B27"/>
    <w:rsid w:val="00187D51"/>
    <w:rsid w:val="00191244"/>
    <w:rsid w:val="001A7B56"/>
    <w:rsid w:val="001B1924"/>
    <w:rsid w:val="001B5A12"/>
    <w:rsid w:val="001B618E"/>
    <w:rsid w:val="001B7BDA"/>
    <w:rsid w:val="001D1FB7"/>
    <w:rsid w:val="001D6279"/>
    <w:rsid w:val="001E3A60"/>
    <w:rsid w:val="00200F41"/>
    <w:rsid w:val="00207EF9"/>
    <w:rsid w:val="002145E6"/>
    <w:rsid w:val="0021522C"/>
    <w:rsid w:val="002160BC"/>
    <w:rsid w:val="002268B2"/>
    <w:rsid w:val="00244C93"/>
    <w:rsid w:val="002528EE"/>
    <w:rsid w:val="00263503"/>
    <w:rsid w:val="002719B3"/>
    <w:rsid w:val="00280243"/>
    <w:rsid w:val="0028182E"/>
    <w:rsid w:val="002A492D"/>
    <w:rsid w:val="002A6245"/>
    <w:rsid w:val="002C3B5E"/>
    <w:rsid w:val="002E53D9"/>
    <w:rsid w:val="00300514"/>
    <w:rsid w:val="00305F9D"/>
    <w:rsid w:val="00310BE2"/>
    <w:rsid w:val="0031644B"/>
    <w:rsid w:val="00320B52"/>
    <w:rsid w:val="00334072"/>
    <w:rsid w:val="00346C65"/>
    <w:rsid w:val="00354AA1"/>
    <w:rsid w:val="003653B6"/>
    <w:rsid w:val="00370F94"/>
    <w:rsid w:val="003806ED"/>
    <w:rsid w:val="003920FE"/>
    <w:rsid w:val="00393B71"/>
    <w:rsid w:val="003A0E48"/>
    <w:rsid w:val="003B035E"/>
    <w:rsid w:val="003B4984"/>
    <w:rsid w:val="003B54AF"/>
    <w:rsid w:val="003D2A29"/>
    <w:rsid w:val="003D556F"/>
    <w:rsid w:val="003E03F1"/>
    <w:rsid w:val="003F124C"/>
    <w:rsid w:val="003F18A6"/>
    <w:rsid w:val="003F4899"/>
    <w:rsid w:val="003F752C"/>
    <w:rsid w:val="00416702"/>
    <w:rsid w:val="0042435D"/>
    <w:rsid w:val="00425FBD"/>
    <w:rsid w:val="0043342C"/>
    <w:rsid w:val="00454D3A"/>
    <w:rsid w:val="00456700"/>
    <w:rsid w:val="004574E6"/>
    <w:rsid w:val="00463A2B"/>
    <w:rsid w:val="00474DAD"/>
    <w:rsid w:val="004830D8"/>
    <w:rsid w:val="0049179B"/>
    <w:rsid w:val="00493801"/>
    <w:rsid w:val="0049423F"/>
    <w:rsid w:val="00496709"/>
    <w:rsid w:val="004971E0"/>
    <w:rsid w:val="004A2715"/>
    <w:rsid w:val="004C6FEE"/>
    <w:rsid w:val="004D045A"/>
    <w:rsid w:val="004D18AF"/>
    <w:rsid w:val="004E5EA0"/>
    <w:rsid w:val="004F0C62"/>
    <w:rsid w:val="00503926"/>
    <w:rsid w:val="005465EB"/>
    <w:rsid w:val="0056726D"/>
    <w:rsid w:val="00571F7F"/>
    <w:rsid w:val="0058795C"/>
    <w:rsid w:val="00596A6C"/>
    <w:rsid w:val="005A5D48"/>
    <w:rsid w:val="005C672C"/>
    <w:rsid w:val="005F08E4"/>
    <w:rsid w:val="00610C79"/>
    <w:rsid w:val="00625054"/>
    <w:rsid w:val="0062799C"/>
    <w:rsid w:val="0064569A"/>
    <w:rsid w:val="00650A3E"/>
    <w:rsid w:val="00652B76"/>
    <w:rsid w:val="0065305C"/>
    <w:rsid w:val="00653095"/>
    <w:rsid w:val="00654EE0"/>
    <w:rsid w:val="006574BA"/>
    <w:rsid w:val="006636EF"/>
    <w:rsid w:val="006802DC"/>
    <w:rsid w:val="00683B74"/>
    <w:rsid w:val="0069645B"/>
    <w:rsid w:val="006A40E9"/>
    <w:rsid w:val="006D3B3B"/>
    <w:rsid w:val="006E3307"/>
    <w:rsid w:val="006F3342"/>
    <w:rsid w:val="006F5ADD"/>
    <w:rsid w:val="00712031"/>
    <w:rsid w:val="00713CA4"/>
    <w:rsid w:val="00723C78"/>
    <w:rsid w:val="00733521"/>
    <w:rsid w:val="00740F1A"/>
    <w:rsid w:val="00745E82"/>
    <w:rsid w:val="00747C31"/>
    <w:rsid w:val="0076198A"/>
    <w:rsid w:val="00766572"/>
    <w:rsid w:val="0077590E"/>
    <w:rsid w:val="00781F6F"/>
    <w:rsid w:val="0079130B"/>
    <w:rsid w:val="00793B7C"/>
    <w:rsid w:val="007A656F"/>
    <w:rsid w:val="007D19BE"/>
    <w:rsid w:val="007D2527"/>
    <w:rsid w:val="007F20D0"/>
    <w:rsid w:val="008108F8"/>
    <w:rsid w:val="00816714"/>
    <w:rsid w:val="0082427E"/>
    <w:rsid w:val="00826A5B"/>
    <w:rsid w:val="008300D9"/>
    <w:rsid w:val="00834C9D"/>
    <w:rsid w:val="008523D5"/>
    <w:rsid w:val="008564F7"/>
    <w:rsid w:val="00861759"/>
    <w:rsid w:val="00871560"/>
    <w:rsid w:val="00873128"/>
    <w:rsid w:val="00880930"/>
    <w:rsid w:val="00881013"/>
    <w:rsid w:val="00883ABD"/>
    <w:rsid w:val="008954D5"/>
    <w:rsid w:val="008A24D1"/>
    <w:rsid w:val="008A582B"/>
    <w:rsid w:val="008B5DD5"/>
    <w:rsid w:val="008B717C"/>
    <w:rsid w:val="008D60E1"/>
    <w:rsid w:val="008E12A0"/>
    <w:rsid w:val="008E21C2"/>
    <w:rsid w:val="008E5811"/>
    <w:rsid w:val="008F7520"/>
    <w:rsid w:val="00920839"/>
    <w:rsid w:val="00924A38"/>
    <w:rsid w:val="00946142"/>
    <w:rsid w:val="00947C8C"/>
    <w:rsid w:val="00973970"/>
    <w:rsid w:val="0099371B"/>
    <w:rsid w:val="009A7043"/>
    <w:rsid w:val="009D0B51"/>
    <w:rsid w:val="009D661E"/>
    <w:rsid w:val="009E5BB1"/>
    <w:rsid w:val="009F49FB"/>
    <w:rsid w:val="00A14F11"/>
    <w:rsid w:val="00A348FC"/>
    <w:rsid w:val="00A41DD7"/>
    <w:rsid w:val="00A52B4B"/>
    <w:rsid w:val="00A67525"/>
    <w:rsid w:val="00A83BF3"/>
    <w:rsid w:val="00A94FF2"/>
    <w:rsid w:val="00AF2FB0"/>
    <w:rsid w:val="00AF4D37"/>
    <w:rsid w:val="00B13213"/>
    <w:rsid w:val="00B171AA"/>
    <w:rsid w:val="00B55FD6"/>
    <w:rsid w:val="00B66661"/>
    <w:rsid w:val="00B75A5C"/>
    <w:rsid w:val="00BA7BA0"/>
    <w:rsid w:val="00BD6CB6"/>
    <w:rsid w:val="00BE6035"/>
    <w:rsid w:val="00BF5CA8"/>
    <w:rsid w:val="00C124B4"/>
    <w:rsid w:val="00C129EA"/>
    <w:rsid w:val="00C378B0"/>
    <w:rsid w:val="00C54BE1"/>
    <w:rsid w:val="00C57099"/>
    <w:rsid w:val="00C57AEB"/>
    <w:rsid w:val="00C655BE"/>
    <w:rsid w:val="00CA35B0"/>
    <w:rsid w:val="00CD053C"/>
    <w:rsid w:val="00CF57BD"/>
    <w:rsid w:val="00CF5DF4"/>
    <w:rsid w:val="00D014A4"/>
    <w:rsid w:val="00D22178"/>
    <w:rsid w:val="00D33915"/>
    <w:rsid w:val="00D53715"/>
    <w:rsid w:val="00D54054"/>
    <w:rsid w:val="00D65E4F"/>
    <w:rsid w:val="00D80F63"/>
    <w:rsid w:val="00DB153B"/>
    <w:rsid w:val="00DB22FD"/>
    <w:rsid w:val="00DB36E3"/>
    <w:rsid w:val="00DC442B"/>
    <w:rsid w:val="00DD1E40"/>
    <w:rsid w:val="00DE3D55"/>
    <w:rsid w:val="00DE4145"/>
    <w:rsid w:val="00DE7038"/>
    <w:rsid w:val="00DF0BB5"/>
    <w:rsid w:val="00E01C03"/>
    <w:rsid w:val="00E201E1"/>
    <w:rsid w:val="00E2155B"/>
    <w:rsid w:val="00E337FB"/>
    <w:rsid w:val="00E378E3"/>
    <w:rsid w:val="00E401AC"/>
    <w:rsid w:val="00E44D84"/>
    <w:rsid w:val="00E517C2"/>
    <w:rsid w:val="00E55F08"/>
    <w:rsid w:val="00E61B27"/>
    <w:rsid w:val="00E96A1A"/>
    <w:rsid w:val="00EA6C10"/>
    <w:rsid w:val="00EB7758"/>
    <w:rsid w:val="00EE3ECD"/>
    <w:rsid w:val="00EE7DB9"/>
    <w:rsid w:val="00EF526D"/>
    <w:rsid w:val="00F33EDC"/>
    <w:rsid w:val="00F40C8C"/>
    <w:rsid w:val="00F41B41"/>
    <w:rsid w:val="00F575CA"/>
    <w:rsid w:val="00F60C9D"/>
    <w:rsid w:val="00F777F6"/>
    <w:rsid w:val="00F8533B"/>
    <w:rsid w:val="00F86A48"/>
    <w:rsid w:val="00F87AEE"/>
    <w:rsid w:val="00F93595"/>
    <w:rsid w:val="00F95719"/>
    <w:rsid w:val="00FA76D1"/>
    <w:rsid w:val="00FC5E3F"/>
    <w:rsid w:val="00FD2B03"/>
    <w:rsid w:val="00FD5602"/>
    <w:rsid w:val="00FE0B5C"/>
    <w:rsid w:val="00FE18D9"/>
    <w:rsid w:val="00FE3C6D"/>
    <w:rsid w:val="00FF6898"/>
    <w:rsid w:val="3B8C2BE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semiHidden="0" w:name="header"/>
    <w:lsdException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en-US" w:eastAsia="en-US" w:bidi="ar-SA"/>
    </w:rPr>
  </w:style>
  <w:style w:type="paragraph" w:styleId="2">
    <w:name w:val="heading 1"/>
    <w:basedOn w:val="1"/>
    <w:next w:val="1"/>
    <w:link w:val="32"/>
    <w:qFormat/>
    <w:uiPriority w:val="9"/>
    <w:pPr>
      <w:keepNext/>
      <w:keepLines/>
      <w:spacing w:before="240" w:after="0"/>
      <w:outlineLvl w:val="0"/>
    </w:pPr>
    <w:rPr>
      <w:rFonts w:ascii="Calibri Light" w:hAnsi="Calibri Light" w:eastAsia="Times New Roman"/>
      <w:color w:val="2F5496"/>
      <w:sz w:val="32"/>
      <w:szCs w:val="32"/>
    </w:rPr>
  </w:style>
  <w:style w:type="paragraph" w:styleId="3">
    <w:name w:val="heading 2"/>
    <w:basedOn w:val="1"/>
    <w:link w:val="20"/>
    <w:qFormat/>
    <w:uiPriority w:val="9"/>
    <w:pPr>
      <w:spacing w:before="100" w:beforeAutospacing="1" w:after="100" w:afterAutospacing="1" w:line="240" w:lineRule="auto"/>
      <w:outlineLvl w:val="1"/>
    </w:pPr>
    <w:rPr>
      <w:rFonts w:ascii="Times New Roman" w:hAnsi="Times New Roman" w:eastAsia="Times New Roman"/>
      <w:b/>
      <w:bCs/>
      <w:sz w:val="36"/>
      <w:szCs w:val="36"/>
    </w:rPr>
  </w:style>
  <w:style w:type="paragraph" w:styleId="4">
    <w:name w:val="heading 3"/>
    <w:basedOn w:val="1"/>
    <w:next w:val="1"/>
    <w:link w:val="33"/>
    <w:unhideWhenUsed/>
    <w:qFormat/>
    <w:uiPriority w:val="9"/>
    <w:pPr>
      <w:keepNext/>
      <w:keepLines/>
      <w:spacing w:before="40" w:after="0"/>
      <w:outlineLvl w:val="2"/>
    </w:pPr>
    <w:rPr>
      <w:rFonts w:ascii="Calibri Light" w:hAnsi="Calibri Light" w:eastAsia="Times New Roman"/>
      <w:color w:val="1F3763"/>
      <w:sz w:val="24"/>
      <w:szCs w:val="24"/>
    </w:rPr>
  </w:style>
  <w:style w:type="paragraph" w:styleId="5">
    <w:name w:val="heading 4"/>
    <w:basedOn w:val="1"/>
    <w:next w:val="1"/>
    <w:link w:val="22"/>
    <w:semiHidden/>
    <w:unhideWhenUsed/>
    <w:qFormat/>
    <w:uiPriority w:val="9"/>
    <w:pPr>
      <w:keepNext/>
      <w:keepLines/>
      <w:spacing w:before="40" w:after="0"/>
      <w:outlineLvl w:val="3"/>
    </w:pPr>
    <w:rPr>
      <w:rFonts w:ascii="Calibri Light" w:hAnsi="Calibri Light" w:eastAsia="Times New Roman"/>
      <w:i/>
      <w:iCs/>
      <w:color w:val="2F5496"/>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link w:val="27"/>
    <w:semiHidden/>
    <w:unhideWhenUsed/>
    <w:uiPriority w:val="99"/>
    <w:pPr>
      <w:spacing w:after="0" w:line="240" w:lineRule="auto"/>
    </w:pPr>
    <w:rPr>
      <w:rFonts w:ascii="Tahoma" w:hAnsi="Tahoma" w:cs="Tahoma"/>
      <w:sz w:val="16"/>
      <w:szCs w:val="16"/>
    </w:rPr>
  </w:style>
  <w:style w:type="paragraph" w:styleId="9">
    <w:name w:val="caption"/>
    <w:basedOn w:val="1"/>
    <w:next w:val="1"/>
    <w:qFormat/>
    <w:uiPriority w:val="0"/>
    <w:pPr>
      <w:spacing w:after="200" w:line="276" w:lineRule="auto"/>
      <w:jc w:val="center"/>
    </w:pPr>
    <w:rPr>
      <w:rFonts w:eastAsia="Times New Roman"/>
      <w:b/>
      <w:bCs/>
      <w:szCs w:val="28"/>
    </w:rPr>
  </w:style>
  <w:style w:type="character" w:styleId="10">
    <w:name w:val="Emphasis"/>
    <w:qFormat/>
    <w:uiPriority w:val="20"/>
    <w:rPr>
      <w:i/>
      <w:iCs/>
    </w:rPr>
  </w:style>
  <w:style w:type="paragraph" w:styleId="11">
    <w:name w:val="footer"/>
    <w:basedOn w:val="1"/>
    <w:link w:val="26"/>
    <w:unhideWhenUsed/>
    <w:uiPriority w:val="99"/>
    <w:pPr>
      <w:tabs>
        <w:tab w:val="center" w:pos="4680"/>
        <w:tab w:val="right" w:pos="9360"/>
      </w:tabs>
      <w:spacing w:after="0" w:line="240" w:lineRule="auto"/>
    </w:pPr>
  </w:style>
  <w:style w:type="character" w:styleId="12">
    <w:name w:val="footnote reference"/>
    <w:semiHidden/>
    <w:unhideWhenUsed/>
    <w:qFormat/>
    <w:uiPriority w:val="99"/>
    <w:rPr>
      <w:vertAlign w:val="superscript"/>
    </w:rPr>
  </w:style>
  <w:style w:type="paragraph" w:styleId="13">
    <w:name w:val="footnote text"/>
    <w:basedOn w:val="1"/>
    <w:link w:val="35"/>
    <w:unhideWhenUsed/>
    <w:qFormat/>
    <w:uiPriority w:val="99"/>
    <w:rPr>
      <w:sz w:val="20"/>
      <w:szCs w:val="20"/>
    </w:rPr>
  </w:style>
  <w:style w:type="paragraph" w:styleId="14">
    <w:name w:val="header"/>
    <w:basedOn w:val="1"/>
    <w:link w:val="25"/>
    <w:unhideWhenUsed/>
    <w:uiPriority w:val="99"/>
    <w:pPr>
      <w:tabs>
        <w:tab w:val="center" w:pos="4680"/>
        <w:tab w:val="right" w:pos="9360"/>
      </w:tabs>
      <w:spacing w:after="0" w:line="240" w:lineRule="auto"/>
    </w:pPr>
  </w:style>
  <w:style w:type="character" w:styleId="15">
    <w:name w:val="Hyperlink"/>
    <w:unhideWhenUsed/>
    <w:uiPriority w:val="99"/>
    <w:rPr>
      <w:color w:val="0000FF"/>
      <w:u w:val="single"/>
    </w:rPr>
  </w:style>
  <w:style w:type="paragraph" w:styleId="16">
    <w:name w:val="Normal (Web)"/>
    <w:basedOn w:val="1"/>
    <w:link w:val="24"/>
    <w:unhideWhenUsed/>
    <w:qFormat/>
    <w:uiPriority w:val="99"/>
    <w:pPr>
      <w:spacing w:before="100" w:beforeAutospacing="1" w:after="100" w:afterAutospacing="1" w:line="240" w:lineRule="auto"/>
    </w:pPr>
    <w:rPr>
      <w:rFonts w:ascii="Times New Roman" w:hAnsi="Times New Roman" w:eastAsia="Times New Roman"/>
      <w:sz w:val="24"/>
      <w:szCs w:val="24"/>
    </w:rPr>
  </w:style>
  <w:style w:type="character" w:styleId="17">
    <w:name w:val="Strong"/>
    <w:qFormat/>
    <w:uiPriority w:val="22"/>
    <w:rPr>
      <w:b/>
      <w:bCs/>
    </w:rPr>
  </w:style>
  <w:style w:type="table" w:styleId="1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List Paragraph"/>
    <w:basedOn w:val="1"/>
    <w:qFormat/>
    <w:uiPriority w:val="34"/>
    <w:pPr>
      <w:ind w:left="720"/>
      <w:contextualSpacing/>
    </w:pPr>
  </w:style>
  <w:style w:type="character" w:customStyle="1" w:styleId="20">
    <w:name w:val="Heading 2 Char"/>
    <w:link w:val="3"/>
    <w:uiPriority w:val="9"/>
    <w:rPr>
      <w:rFonts w:ascii="Times New Roman" w:hAnsi="Times New Roman" w:eastAsia="Times New Roman" w:cs="Times New Roman"/>
      <w:b/>
      <w:bCs/>
      <w:sz w:val="36"/>
      <w:szCs w:val="36"/>
    </w:rPr>
  </w:style>
  <w:style w:type="character" w:customStyle="1" w:styleId="21">
    <w:name w:val="muxgbd"/>
    <w:basedOn w:val="6"/>
    <w:uiPriority w:val="0"/>
  </w:style>
  <w:style w:type="character" w:customStyle="1" w:styleId="22">
    <w:name w:val="Heading 4 Char"/>
    <w:link w:val="5"/>
    <w:semiHidden/>
    <w:uiPriority w:val="9"/>
    <w:rPr>
      <w:rFonts w:ascii="Calibri Light" w:hAnsi="Calibri Light" w:eastAsia="Times New Roman" w:cs="Times New Roman"/>
      <w:i/>
      <w:iCs/>
      <w:color w:val="2F5496"/>
    </w:rPr>
  </w:style>
  <w:style w:type="paragraph" w:customStyle="1" w:styleId="23">
    <w:name w:val="Revision"/>
    <w:hidden/>
    <w:semiHidden/>
    <w:uiPriority w:val="99"/>
    <w:rPr>
      <w:rFonts w:ascii="Calibri" w:hAnsi="Calibri" w:eastAsia="Calibri" w:cs="Times New Roman"/>
      <w:sz w:val="22"/>
      <w:szCs w:val="22"/>
      <w:lang w:val="en-US" w:eastAsia="en-US" w:bidi="ar-SA"/>
    </w:rPr>
  </w:style>
  <w:style w:type="character" w:customStyle="1" w:styleId="24">
    <w:name w:val="Normal (Web) Char"/>
    <w:link w:val="16"/>
    <w:qFormat/>
    <w:uiPriority w:val="99"/>
    <w:rPr>
      <w:rFonts w:ascii="Times New Roman" w:hAnsi="Times New Roman" w:eastAsia="Times New Roman" w:cs="Times New Roman"/>
      <w:sz w:val="24"/>
      <w:szCs w:val="24"/>
    </w:rPr>
  </w:style>
  <w:style w:type="character" w:customStyle="1" w:styleId="25">
    <w:name w:val="Header Char"/>
    <w:basedOn w:val="6"/>
    <w:link w:val="14"/>
    <w:uiPriority w:val="99"/>
  </w:style>
  <w:style w:type="character" w:customStyle="1" w:styleId="26">
    <w:name w:val="Footer Char"/>
    <w:basedOn w:val="6"/>
    <w:link w:val="11"/>
    <w:uiPriority w:val="99"/>
  </w:style>
  <w:style w:type="character" w:customStyle="1" w:styleId="27">
    <w:name w:val="Balloon Text Char"/>
    <w:link w:val="8"/>
    <w:semiHidden/>
    <w:uiPriority w:val="99"/>
    <w:rPr>
      <w:rFonts w:ascii="Tahoma" w:hAnsi="Tahoma" w:cs="Tahoma"/>
      <w:sz w:val="16"/>
      <w:szCs w:val="16"/>
    </w:rPr>
  </w:style>
  <w:style w:type="character" w:customStyle="1" w:styleId="28">
    <w:name w:val="Văn bản nội dung_"/>
    <w:link w:val="29"/>
    <w:uiPriority w:val="0"/>
    <w:rPr>
      <w:rFonts w:eastAsia="Times New Roman" w:cs="Times New Roman"/>
      <w:sz w:val="26"/>
      <w:szCs w:val="26"/>
    </w:rPr>
  </w:style>
  <w:style w:type="paragraph" w:customStyle="1" w:styleId="29">
    <w:name w:val="Văn bản nội dung"/>
    <w:basedOn w:val="1"/>
    <w:link w:val="28"/>
    <w:qFormat/>
    <w:uiPriority w:val="0"/>
    <w:pPr>
      <w:widowControl w:val="0"/>
      <w:spacing w:after="80" w:line="276" w:lineRule="auto"/>
      <w:ind w:firstLine="400"/>
    </w:pPr>
    <w:rPr>
      <w:rFonts w:eastAsia="Times New Roman"/>
      <w:sz w:val="26"/>
      <w:szCs w:val="26"/>
    </w:rPr>
  </w:style>
  <w:style w:type="paragraph" w:customStyle="1" w:styleId="30">
    <w:name w:val="Normal1"/>
    <w:qFormat/>
    <w:uiPriority w:val="0"/>
    <w:pPr>
      <w:spacing w:line="276" w:lineRule="auto"/>
    </w:pPr>
    <w:rPr>
      <w:rFonts w:ascii="Arial" w:hAnsi="Arial" w:eastAsia="Arial" w:cs="Arial"/>
      <w:color w:val="000000"/>
      <w:sz w:val="22"/>
      <w:lang w:val="en-US" w:eastAsia="en-US" w:bidi="ar-SA"/>
    </w:rPr>
  </w:style>
  <w:style w:type="character" w:customStyle="1" w:styleId="31">
    <w:name w:val="fontstyle01"/>
    <w:qFormat/>
    <w:uiPriority w:val="0"/>
    <w:rPr>
      <w:rFonts w:hint="default" w:ascii="PTSans-Regular" w:hAnsi="PTSans-Regular"/>
      <w:color w:val="000000"/>
      <w:sz w:val="28"/>
      <w:szCs w:val="28"/>
    </w:rPr>
  </w:style>
  <w:style w:type="character" w:customStyle="1" w:styleId="32">
    <w:name w:val="Heading 1 Char"/>
    <w:link w:val="2"/>
    <w:qFormat/>
    <w:uiPriority w:val="9"/>
    <w:rPr>
      <w:rFonts w:ascii="Calibri Light" w:hAnsi="Calibri Light" w:eastAsia="Times New Roman" w:cs="Times New Roman"/>
      <w:color w:val="2F5496"/>
      <w:sz w:val="32"/>
      <w:szCs w:val="32"/>
    </w:rPr>
  </w:style>
  <w:style w:type="character" w:customStyle="1" w:styleId="33">
    <w:name w:val="Heading 3 Char"/>
    <w:link w:val="4"/>
    <w:qFormat/>
    <w:uiPriority w:val="9"/>
    <w:rPr>
      <w:rFonts w:ascii="Calibri Light" w:hAnsi="Calibri Light" w:eastAsia="Times New Roman" w:cs="Times New Roman"/>
      <w:color w:val="1F3763"/>
      <w:sz w:val="24"/>
      <w:szCs w:val="24"/>
    </w:rPr>
  </w:style>
  <w:style w:type="table" w:customStyle="1" w:styleId="34">
    <w:name w:val="Table Grid11"/>
    <w:basedOn w:val="7"/>
    <w:qFormat/>
    <w:uiPriority w:val="0"/>
    <w:rPr>
      <w:rFonts w:ascii="Times New Roman" w:hAnsi="Times New Roman" w:eastAsia="Times New Roman"/>
      <w:lang w:val="vi-VN" w:eastAsia="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5">
    <w:name w:val="Footnote Text Char"/>
    <w:basedOn w:val="6"/>
    <w:link w:val="13"/>
    <w:qFormat/>
    <w:uiPriority w:val="99"/>
  </w:style>
  <w:style w:type="character" w:customStyle="1" w:styleId="36">
    <w:name w:val="Unresolved Mention1"/>
    <w:semiHidden/>
    <w:unhideWhenUsed/>
    <w:qFormat/>
    <w:uiPriority w:val="99"/>
    <w:rPr>
      <w:color w:val="605E5C"/>
      <w:shd w:val="clear" w:color="auto" w:fill="E1DFDD"/>
    </w:rPr>
  </w:style>
  <w:style w:type="paragraph" w:styleId="37">
    <w:name w:val="No Spacing"/>
    <w:qFormat/>
    <w:uiPriority w:val="1"/>
    <w:rPr>
      <w:rFonts w:ascii="Calibri" w:hAnsi="Calibri" w:eastAsia="Calibri" w:cs="Times New Roman"/>
      <w:sz w:val="22"/>
      <w:szCs w:val="22"/>
      <w:lang w:val="en-US" w:eastAsia="en-US" w:bidi="ar-SA"/>
    </w:rPr>
  </w:style>
  <w:style w:type="character" w:customStyle="1" w:styleId="38">
    <w:name w:val="fontstyle21"/>
    <w:qFormat/>
    <w:uiPriority w:val="0"/>
    <w:rPr>
      <w:rFonts w:hint="default" w:ascii="TimesNewRomanPSMT" w:hAnsi="TimesNewRomanPSMT"/>
      <w:color w:val="000000"/>
      <w:sz w:val="28"/>
      <w:szCs w:val="28"/>
    </w:rPr>
  </w:style>
  <w:style w:type="character" w:customStyle="1" w:styleId="39">
    <w:name w:val="whitespace-normal"/>
    <w:basedOn w:val="6"/>
    <w:qFormat/>
    <w:uiPriority w:val="0"/>
  </w:style>
  <w:style w:type="paragraph" w:customStyle="1" w:styleId="40">
    <w:name w:val="msonormal"/>
    <w:basedOn w:val="1"/>
    <w:qFormat/>
    <w:uiPriority w:val="0"/>
    <w:pPr>
      <w:spacing w:before="100" w:beforeAutospacing="1" w:after="100" w:afterAutospacing="1" w:line="240" w:lineRule="auto"/>
    </w:pPr>
    <w:rPr>
      <w:rFonts w:ascii="Times New Roman" w:hAnsi="Times New Roman" w:eastAsia="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DE5BFA-B03C-4375-AA68-BEE34D19507F}">
  <ds:schemaRefs/>
</ds:datastoreItem>
</file>

<file path=docProps/app.xml><?xml version="1.0" encoding="utf-8"?>
<Properties xmlns="http://schemas.openxmlformats.org/officeDocument/2006/extended-properties" xmlns:vt="http://schemas.openxmlformats.org/officeDocument/2006/docPropsVTypes">
  <Template>Normal.dotm</Template>
  <Pages>7</Pages>
  <Words>3672</Words>
  <Characters>13201</Characters>
  <Lines>120</Lines>
  <Paragraphs>33</Paragraphs>
  <TotalTime>803</TotalTime>
  <ScaleCrop>false</ScaleCrop>
  <LinksUpToDate>false</LinksUpToDate>
  <CharactersWithSpaces>16822</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2026-10-14T07:35:00Z</dcterms:created>
  <dc:creator>Administrator</dc:creator>
  <cp:lastModifiedBy>user</cp:lastModifiedBy>
  <cp:lastPrinted>2026-07-02T11:00:00Z</cp:lastPrinted>
  <dcterms:modified xsi:type="dcterms:W3CDTF">2026-11-02T01:57:01Z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77999335AFED4361B7FDEEF1244B45CB_13</vt:lpwstr>
  </property>
</Properties>
</file>